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9ABEB" w14:textId="28ED19A6" w:rsidR="0081472E" w:rsidRPr="003D02CE" w:rsidRDefault="0081472E" w:rsidP="0081472E">
      <w:pPr>
        <w:pStyle w:val="3GPPHeader"/>
        <w:spacing w:after="60"/>
        <w:rPr>
          <w:lang w:val="en-AU"/>
        </w:rPr>
      </w:pPr>
      <w:bookmarkStart w:id="0" w:name="_GoBack"/>
      <w:bookmarkEnd w:id="0"/>
      <w:r w:rsidRPr="003D02CE">
        <w:rPr>
          <w:lang w:val="en-AU"/>
        </w:rPr>
        <w:t>3GPP TSG-RAN WG1 Meeting #9</w:t>
      </w:r>
      <w:r w:rsidR="00B231ED">
        <w:rPr>
          <w:lang w:val="en-AU"/>
        </w:rPr>
        <w:t>5</w:t>
      </w:r>
      <w:r w:rsidRPr="003D02CE">
        <w:rPr>
          <w:lang w:val="en-AU"/>
        </w:rPr>
        <w:tab/>
      </w:r>
      <w:r w:rsidR="0082470F" w:rsidRPr="0082470F">
        <w:rPr>
          <w:lang w:val="en-AU"/>
        </w:rPr>
        <w:t>R1-1813261</w:t>
      </w:r>
    </w:p>
    <w:p w14:paraId="28855D78" w14:textId="77777777" w:rsidR="0081472E" w:rsidRPr="003D02CE" w:rsidRDefault="00B231ED" w:rsidP="0081472E">
      <w:pPr>
        <w:pStyle w:val="3GPPHeader"/>
        <w:rPr>
          <w:bCs/>
          <w:lang w:val="en-AU"/>
        </w:rPr>
      </w:pPr>
      <w:bookmarkStart w:id="1" w:name="_Hlk528794326"/>
      <w:r w:rsidRPr="00B231ED">
        <w:rPr>
          <w:bCs/>
          <w:lang w:val="en-AU"/>
        </w:rPr>
        <w:t>Spokane, USA, November 12th – 16th, 2018</w:t>
      </w:r>
      <w:bookmarkEnd w:id="1"/>
    </w:p>
    <w:p w14:paraId="1F5F8B41" w14:textId="77777777" w:rsidR="005D126B" w:rsidRPr="00675488" w:rsidRDefault="005D126B" w:rsidP="005D126B">
      <w:pPr>
        <w:pStyle w:val="3GPPHeader"/>
        <w:rPr>
          <w:lang w:val="en-AU"/>
        </w:rPr>
      </w:pPr>
    </w:p>
    <w:p w14:paraId="2F6DFB1B"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29470105" w14:textId="77777777" w:rsidR="005D126B" w:rsidRPr="00160528" w:rsidRDefault="005D126B" w:rsidP="005D126B">
      <w:pPr>
        <w:pStyle w:val="3GPPHeader"/>
        <w:rPr>
          <w:lang w:val="en-AU"/>
        </w:rPr>
      </w:pPr>
      <w:r w:rsidRPr="00864DA6">
        <w:rPr>
          <w:lang w:val="en-AU"/>
        </w:rPr>
        <w:t>Title:</w:t>
      </w:r>
      <w:r w:rsidRPr="00864DA6">
        <w:rPr>
          <w:lang w:val="en-AU"/>
        </w:rPr>
        <w:tab/>
      </w:r>
      <w:r w:rsidR="00A80210" w:rsidRPr="00A80210">
        <w:rPr>
          <w:lang w:val="en-AU"/>
        </w:rPr>
        <w:t>Full TX Power UL transmission</w:t>
      </w:r>
    </w:p>
    <w:p w14:paraId="23FED7DD" w14:textId="77777777" w:rsidR="005D126B" w:rsidRPr="00864DA6" w:rsidRDefault="005D126B" w:rsidP="005D126B">
      <w:pPr>
        <w:pStyle w:val="3GPPHeader"/>
        <w:rPr>
          <w:lang w:val="en-AU"/>
        </w:rPr>
      </w:pPr>
      <w:r w:rsidRPr="00D40376">
        <w:rPr>
          <w:lang w:val="en-AU"/>
        </w:rPr>
        <w:t>Agenda Item:</w:t>
      </w:r>
      <w:r w:rsidRPr="00D40376">
        <w:rPr>
          <w:lang w:val="en-AU"/>
        </w:rPr>
        <w:tab/>
      </w:r>
      <w:r w:rsidR="00DF1604" w:rsidRPr="00DF1604">
        <w:rPr>
          <w:lang w:val="en-AU"/>
        </w:rPr>
        <w:t>7.2.8.4</w:t>
      </w:r>
    </w:p>
    <w:p w14:paraId="02ABF1DC"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196A3DB8" w14:textId="77777777" w:rsidR="00E90E49" w:rsidRPr="00CE0424" w:rsidRDefault="007F75D5" w:rsidP="00CE0424">
      <w:pPr>
        <w:pStyle w:val="Heading1"/>
      </w:pPr>
      <w:r>
        <w:t>Introduction</w:t>
      </w:r>
    </w:p>
    <w:p w14:paraId="1BCE898D" w14:textId="77777777" w:rsidR="000910B4" w:rsidRDefault="00826625" w:rsidP="009F0ABA">
      <w:pPr>
        <w:pStyle w:val="BodyText"/>
        <w:rPr>
          <w:lang w:val="en-AU"/>
        </w:rPr>
      </w:pPr>
      <w:bookmarkStart w:id="2" w:name="_Hlk525762005"/>
      <w:r>
        <w:rPr>
          <w:lang w:val="en-AU"/>
        </w:rPr>
        <w:t>In NR rel-15 n</w:t>
      </w:r>
      <w:r w:rsidRPr="00357314">
        <w:rPr>
          <w:lang w:val="en-AU"/>
        </w:rPr>
        <w:t>on-</w:t>
      </w:r>
      <w:r w:rsidR="00E86B11" w:rsidRPr="00357314">
        <w:rPr>
          <w:lang w:val="en-AU"/>
        </w:rPr>
        <w:t>codebook-based</w:t>
      </w:r>
      <w:r w:rsidRPr="00357314">
        <w:rPr>
          <w:lang w:val="en-AU"/>
        </w:rPr>
        <w:t xml:space="preserve"> UL MIMO as well as the notion of different UE transmission coherence capabilities </w:t>
      </w:r>
      <w:r>
        <w:rPr>
          <w:lang w:val="en-AU"/>
        </w:rPr>
        <w:t xml:space="preserve">were </w:t>
      </w:r>
      <w:r w:rsidRPr="00357314">
        <w:rPr>
          <w:lang w:val="en-AU"/>
        </w:rPr>
        <w:t xml:space="preserve">introduced in NR. </w:t>
      </w:r>
      <w:r w:rsidR="00DA5C3A">
        <w:rPr>
          <w:lang w:val="en-AU"/>
        </w:rPr>
        <w:t>However, these schemes were specified in such a way that for non-</w:t>
      </w:r>
      <w:proofErr w:type="gramStart"/>
      <w:r w:rsidR="00DA5C3A">
        <w:rPr>
          <w:lang w:val="en-AU"/>
        </w:rPr>
        <w:t>codebook based</w:t>
      </w:r>
      <w:proofErr w:type="gramEnd"/>
      <w:r w:rsidR="00DA5C3A">
        <w:rPr>
          <w:lang w:val="en-AU"/>
        </w:rPr>
        <w:t xml:space="preserve"> UL MIMO as well as codebook based UL MIMO</w:t>
      </w:r>
      <w:r w:rsidR="001E2682">
        <w:rPr>
          <w:lang w:val="en-AU"/>
        </w:rPr>
        <w:t>,</w:t>
      </w:r>
      <w:r w:rsidR="00DA5C3A">
        <w:rPr>
          <w:lang w:val="en-AU"/>
        </w:rPr>
        <w:t xml:space="preserve"> for some coherence capabilities</w:t>
      </w:r>
      <w:r w:rsidR="001E2682">
        <w:rPr>
          <w:lang w:val="en-AU"/>
        </w:rPr>
        <w:t>,</w:t>
      </w:r>
      <w:r w:rsidR="00DA5C3A">
        <w:rPr>
          <w:lang w:val="en-AU"/>
        </w:rPr>
        <w:t xml:space="preserve"> full power transmission is only possible when transmitting with full rank. This is an undesired property since one would rather like to enable full power transmission regardless of rank, and then split this power over the transmitted layers. </w:t>
      </w:r>
      <w:r w:rsidR="001513B4">
        <w:rPr>
          <w:lang w:val="en-AU"/>
        </w:rPr>
        <w:t>For SRS there exist a similar issue</w:t>
      </w:r>
      <w:r w:rsidR="00CD7711">
        <w:rPr>
          <w:lang w:val="en-AU"/>
        </w:rPr>
        <w:t>,</w:t>
      </w:r>
      <w:r w:rsidR="001513B4">
        <w:rPr>
          <w:lang w:val="en-AU"/>
        </w:rPr>
        <w:t xml:space="preserve"> depending on the type of SRS that is being transmitted</w:t>
      </w:r>
      <w:r w:rsidR="00CD7711">
        <w:rPr>
          <w:lang w:val="en-AU"/>
        </w:rPr>
        <w:t>, which prevents transmitting the SRS with full power in some cases</w:t>
      </w:r>
      <w:r w:rsidR="001513B4">
        <w:rPr>
          <w:lang w:val="en-AU"/>
        </w:rPr>
        <w:t>.</w:t>
      </w:r>
      <w:r w:rsidR="00CD7711">
        <w:rPr>
          <w:lang w:val="en-AU"/>
        </w:rPr>
        <w:t xml:space="preserve"> </w:t>
      </w:r>
    </w:p>
    <w:p w14:paraId="5D7F9833" w14:textId="77777777" w:rsidR="00694BBE" w:rsidRDefault="000910B4" w:rsidP="000910B4">
      <w:pPr>
        <w:pStyle w:val="BodyText"/>
        <w:rPr>
          <w:lang w:val="en-AU"/>
        </w:rPr>
      </w:pPr>
      <w:r>
        <w:rPr>
          <w:lang w:val="en-AU"/>
        </w:rPr>
        <w:t xml:space="preserve">For NR rel-16 RAN1 will </w:t>
      </w:r>
      <w:r w:rsidR="00694BBE">
        <w:rPr>
          <w:lang w:val="en-AU"/>
        </w:rPr>
        <w:t>specify</w:t>
      </w:r>
      <w:r>
        <w:rPr>
          <w:lang w:val="en-AU"/>
        </w:rPr>
        <w:t xml:space="preserve"> full power transmission for the UL [</w:t>
      </w:r>
      <w:r w:rsidR="00442D24" w:rsidRPr="00442D24">
        <w:rPr>
          <w:lang w:val="en-AU"/>
        </w:rPr>
        <w:t>1</w:t>
      </w:r>
      <w:r>
        <w:rPr>
          <w:lang w:val="en-AU"/>
        </w:rPr>
        <w:t>]</w:t>
      </w:r>
      <w:r w:rsidR="00694BBE">
        <w:rPr>
          <w:lang w:val="en-AU"/>
        </w:rPr>
        <w:t xml:space="preserve"> as stated in the WID where it says that </w:t>
      </w:r>
    </w:p>
    <w:p w14:paraId="02FEBC4A" w14:textId="77777777" w:rsidR="00694BBE" w:rsidRPr="00694BBE" w:rsidRDefault="00694BBE" w:rsidP="00694BBE">
      <w:pPr>
        <w:numPr>
          <w:ilvl w:val="1"/>
          <w:numId w:val="39"/>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val="en-AU" w:eastAsia="ko-KR"/>
        </w:rPr>
      </w:pPr>
      <w:r w:rsidRPr="00694BBE">
        <w:rPr>
          <w:rFonts w:eastAsia="Malgun Gothic"/>
          <w:lang w:val="en-AU" w:eastAsia="ko-KR"/>
        </w:rPr>
        <w:t>Specify enhancement to allow full power transmission in case of uplink transmission with multiple power amplifiers (assume no change on UE power class)</w:t>
      </w:r>
    </w:p>
    <w:p w14:paraId="018A1B9C" w14:textId="77777777" w:rsidR="00826625" w:rsidRDefault="000910B4" w:rsidP="000910B4">
      <w:pPr>
        <w:pStyle w:val="BodyText"/>
        <w:rPr>
          <w:lang w:val="en-AU"/>
        </w:rPr>
      </w:pPr>
      <w:r>
        <w:rPr>
          <w:lang w:val="en-AU"/>
        </w:rPr>
        <w:t xml:space="preserve">In our view this implies that both PUSCH and SRS are enhanced to support full power UL transmission since it would be counter intuitive to enhance one of the cases but not the other. </w:t>
      </w:r>
      <w:r w:rsidR="00DA5C3A">
        <w:rPr>
          <w:lang w:val="en-AU"/>
        </w:rPr>
        <w:t xml:space="preserve">We will </w:t>
      </w:r>
      <w:r>
        <w:rPr>
          <w:lang w:val="en-AU"/>
        </w:rPr>
        <w:t xml:space="preserve">therefore </w:t>
      </w:r>
      <w:r w:rsidR="00DA5C3A">
        <w:rPr>
          <w:lang w:val="en-AU"/>
        </w:rPr>
        <w:t xml:space="preserve">in this contribution </w:t>
      </w:r>
      <w:r>
        <w:rPr>
          <w:lang w:val="en-AU"/>
        </w:rPr>
        <w:t>provide our view on this topic for both PUSCH as well as SRS</w:t>
      </w:r>
      <w:r w:rsidR="00DA5C3A">
        <w:rPr>
          <w:lang w:val="en-AU"/>
        </w:rPr>
        <w:t xml:space="preserve">.   </w:t>
      </w:r>
      <w:bookmarkEnd w:id="2"/>
    </w:p>
    <w:p w14:paraId="1FA71274" w14:textId="77777777" w:rsidR="00826625" w:rsidRDefault="000910B4" w:rsidP="00826625">
      <w:pPr>
        <w:pStyle w:val="Heading1"/>
      </w:pPr>
      <w:r w:rsidRPr="00A80210">
        <w:rPr>
          <w:lang w:val="en-AU"/>
        </w:rPr>
        <w:t>Full TX Power UL transmission</w:t>
      </w:r>
      <w:r>
        <w:rPr>
          <w:lang w:val="en-AU"/>
        </w:rPr>
        <w:t xml:space="preserve"> for PUSCH</w:t>
      </w:r>
    </w:p>
    <w:p w14:paraId="677BB861" w14:textId="77777777" w:rsidR="000910B4" w:rsidRDefault="000910B4" w:rsidP="00A80210">
      <w:pPr>
        <w:rPr>
          <w:lang w:val="en-AU"/>
        </w:rPr>
      </w:pPr>
      <w:r>
        <w:rPr>
          <w:lang w:val="en-AU"/>
        </w:rPr>
        <w:t>In our companion paper [2] we provide a detailed analysis on why full power UL transmission is currently not supported for PUSCH</w:t>
      </w:r>
      <w:r w:rsidR="00253319">
        <w:rPr>
          <w:lang w:val="en-AU"/>
        </w:rPr>
        <w:t xml:space="preserve"> in NR rel-15</w:t>
      </w:r>
      <w:r>
        <w:rPr>
          <w:lang w:val="en-AU"/>
        </w:rPr>
        <w:t xml:space="preserve">. Based on this analysis we make the following observations: </w:t>
      </w:r>
    </w:p>
    <w:p w14:paraId="105D4755" w14:textId="77777777" w:rsidR="000910B4" w:rsidRDefault="000910B4" w:rsidP="000910B4">
      <w:pPr>
        <w:spacing w:after="0"/>
        <w:rPr>
          <w:b/>
          <w:u w:val="single"/>
          <w:lang w:val="en-AU"/>
        </w:rPr>
      </w:pPr>
      <w:r>
        <w:rPr>
          <w:lang w:val="en-AU"/>
        </w:rPr>
        <w:t xml:space="preserve"> </w:t>
      </w:r>
      <w:r w:rsidRPr="00C9018E">
        <w:rPr>
          <w:b/>
          <w:u w:val="single"/>
          <w:lang w:val="en-AU"/>
        </w:rPr>
        <w:t xml:space="preserve">Observations: </w:t>
      </w:r>
    </w:p>
    <w:p w14:paraId="65863AD4" w14:textId="77777777"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codebook-based transmission with a coherent UE full power transmission is possible regardless of rank</w:t>
      </w:r>
    </w:p>
    <w:p w14:paraId="698BC4A2" w14:textId="77777777"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t xml:space="preserve">By decreasing the rank, it is hence possible to increase the power per layer which makes it possible to use rank adaptation as a tool to increase coverage and throughput. </w:t>
      </w:r>
    </w:p>
    <w:p w14:paraId="32037117" w14:textId="77777777"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codebook-based transmission with a partial-coherent or non-coherent UE full power transmission is only possible when using higher rank.</w:t>
      </w:r>
    </w:p>
    <w:p w14:paraId="49164AF5" w14:textId="77777777"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t xml:space="preserve">The power per layer will in general not increase when the rank is reduced, degrading coverage of lower rank transmission. </w:t>
      </w:r>
    </w:p>
    <w:p w14:paraId="77467D68" w14:textId="77777777"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non-codebook-based transmission full power transmission is only possible when using higher rank.</w:t>
      </w:r>
    </w:p>
    <w:p w14:paraId="6645E7E7" w14:textId="77777777"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lastRenderedPageBreak/>
        <w:t>The power per layer will not increase when the rank is reduced, degrading coverage of lower rank transmission.</w:t>
      </w:r>
    </w:p>
    <w:p w14:paraId="22DE8321" w14:textId="77777777" w:rsidR="00253319" w:rsidRDefault="00CE100B" w:rsidP="00A80210">
      <w:pPr>
        <w:rPr>
          <w:lang w:val="en-AU"/>
        </w:rPr>
      </w:pPr>
      <w:r>
        <w:rPr>
          <w:lang w:val="en-AU"/>
        </w:rPr>
        <w:t xml:space="preserve">These observations </w:t>
      </w:r>
      <w:proofErr w:type="gramStart"/>
      <w:r>
        <w:rPr>
          <w:lang w:val="en-AU"/>
        </w:rPr>
        <w:t>implies</w:t>
      </w:r>
      <w:proofErr w:type="gramEnd"/>
      <w:r>
        <w:rPr>
          <w:lang w:val="en-AU"/>
        </w:rPr>
        <w:t xml:space="preserve"> that </w:t>
      </w:r>
      <w:r w:rsidR="00253319">
        <w:rPr>
          <w:lang w:val="en-AU"/>
        </w:rPr>
        <w:t>for codebook-based transmission with a coherent UE full power UL transmission is possible for all ranks. However, for codebook-based transmission with a non-coherent or partial-coherent UE as well as non-</w:t>
      </w:r>
      <w:proofErr w:type="gramStart"/>
      <w:r w:rsidR="00253319">
        <w:rPr>
          <w:lang w:val="en-AU"/>
        </w:rPr>
        <w:t>codebook based</w:t>
      </w:r>
      <w:proofErr w:type="gramEnd"/>
      <w:r w:rsidR="00253319">
        <w:rPr>
          <w:lang w:val="en-AU"/>
        </w:rPr>
        <w:t xml:space="preserve"> transmission full power transmission is not possible for all ranks. In fact, in many cases the power per layer is instead constant and the only way to transmit full power is hence to transmit using full rank. This is however an unwanted property since it will decrease the potential of rank adaptation as well as decreas</w:t>
      </w:r>
      <w:r>
        <w:rPr>
          <w:lang w:val="en-AU"/>
        </w:rPr>
        <w:t>ing</w:t>
      </w:r>
      <w:r w:rsidR="00253319">
        <w:rPr>
          <w:lang w:val="en-AU"/>
        </w:rPr>
        <w:t xml:space="preserve"> </w:t>
      </w:r>
      <w:r>
        <w:rPr>
          <w:lang w:val="en-AU"/>
        </w:rPr>
        <w:t xml:space="preserve">the </w:t>
      </w:r>
      <w:r w:rsidR="00253319">
        <w:rPr>
          <w:lang w:val="en-AU"/>
        </w:rPr>
        <w:t xml:space="preserve">coverage. </w:t>
      </w:r>
    </w:p>
    <w:p w14:paraId="4D594647" w14:textId="77777777" w:rsidR="006F0C0F" w:rsidRDefault="00C916ED" w:rsidP="00A80210">
      <w:pPr>
        <w:rPr>
          <w:lang w:val="en-AU"/>
        </w:rPr>
      </w:pPr>
      <w:r>
        <w:rPr>
          <w:lang w:val="en-AU"/>
        </w:rPr>
        <w:t xml:space="preserve">It has been proposed to solve these issues via </w:t>
      </w:r>
      <w:r w:rsidR="004C72C3">
        <w:rPr>
          <w:lang w:val="en-AU"/>
        </w:rPr>
        <w:t xml:space="preserve">antenna virtualization but in [2] we make the following observations: </w:t>
      </w:r>
    </w:p>
    <w:p w14:paraId="74EA01F5" w14:textId="77777777" w:rsidR="004C72C3" w:rsidRDefault="004C72C3" w:rsidP="004C72C3">
      <w:pPr>
        <w:spacing w:after="0"/>
        <w:rPr>
          <w:lang w:val="en-GB" w:eastAsia="zh-CN"/>
        </w:rPr>
      </w:pPr>
      <w:r w:rsidRPr="0080302A">
        <w:rPr>
          <w:b/>
          <w:lang w:val="en-GB" w:eastAsia="zh-CN"/>
        </w:rPr>
        <w:t>Observations</w:t>
      </w:r>
      <w:r>
        <w:rPr>
          <w:lang w:val="en-GB" w:eastAsia="zh-CN"/>
        </w:rPr>
        <w:t>:</w:t>
      </w:r>
    </w:p>
    <w:p w14:paraId="505A10FC" w14:textId="77777777" w:rsidR="004C72C3" w:rsidRPr="0080302A" w:rsidRDefault="004C72C3" w:rsidP="004C72C3">
      <w:pPr>
        <w:pStyle w:val="ListParagraph"/>
        <w:numPr>
          <w:ilvl w:val="0"/>
          <w:numId w:val="44"/>
        </w:numPr>
        <w:rPr>
          <w:lang w:val="en-GB" w:eastAsia="zh-CN"/>
        </w:rPr>
      </w:pPr>
      <w:r w:rsidRPr="0080302A">
        <w:rPr>
          <w:lang w:val="en-GB" w:eastAsia="zh-CN"/>
        </w:rPr>
        <w:t>Antenna virtualization can be used to combine power from multiple PAs when Tx chains are non-coherent, as well as when they are coherent.</w:t>
      </w:r>
    </w:p>
    <w:p w14:paraId="2A4A6C7D" w14:textId="77777777" w:rsidR="004C72C3" w:rsidRPr="0080302A" w:rsidRDefault="004C72C3" w:rsidP="004C72C3">
      <w:pPr>
        <w:pStyle w:val="ListParagraph"/>
        <w:numPr>
          <w:ilvl w:val="0"/>
          <w:numId w:val="44"/>
        </w:numPr>
        <w:rPr>
          <w:lang w:val="en-GB" w:eastAsia="zh-CN"/>
        </w:rPr>
      </w:pPr>
      <w:r w:rsidRPr="0080302A">
        <w:rPr>
          <w:lang w:val="en-GB" w:eastAsia="zh-CN"/>
        </w:rPr>
        <w:t>Not all UE antenna implementations support non-coherent antenna virtualization</w:t>
      </w:r>
    </w:p>
    <w:p w14:paraId="0430C231" w14:textId="3451A137" w:rsidR="004C72C3" w:rsidRDefault="004C72C3" w:rsidP="004077DE">
      <w:pPr>
        <w:pStyle w:val="Heading2"/>
      </w:pPr>
      <w:r>
        <w:t xml:space="preserve">Approaches using virtualization and </w:t>
      </w:r>
      <w:r w:rsidR="00A915AA">
        <w:t>higher</w:t>
      </w:r>
      <w:r>
        <w:t xml:space="preserve"> power PAs</w:t>
      </w:r>
    </w:p>
    <w:p w14:paraId="5D968FEA" w14:textId="77777777" w:rsidR="004C72C3" w:rsidRDefault="004C72C3" w:rsidP="004C72C3">
      <w:pPr>
        <w:rPr>
          <w:lang w:val="en-AU"/>
        </w:rPr>
      </w:pPr>
      <w:r>
        <w:rPr>
          <w:noProof/>
        </w:rPr>
        <mc:AlternateContent>
          <mc:Choice Requires="wps">
            <w:drawing>
              <wp:anchor distT="45720" distB="45720" distL="114300" distR="114300" simplePos="0" relativeHeight="251659264" behindDoc="0" locked="0" layoutInCell="1" allowOverlap="1" wp14:anchorId="3971656F" wp14:editId="4E4D3807">
                <wp:simplePos x="0" y="0"/>
                <wp:positionH relativeFrom="margin">
                  <wp:align>left</wp:align>
                </wp:positionH>
                <wp:positionV relativeFrom="paragraph">
                  <wp:posOffset>304800</wp:posOffset>
                </wp:positionV>
                <wp:extent cx="6009640" cy="2794635"/>
                <wp:effectExtent l="0" t="0" r="1016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2794959"/>
                        </a:xfrm>
                        <a:prstGeom prst="rect">
                          <a:avLst/>
                        </a:prstGeom>
                        <a:solidFill>
                          <a:srgbClr val="FFFFFF"/>
                        </a:solidFill>
                        <a:ln w="9525">
                          <a:solidFill>
                            <a:srgbClr val="000000"/>
                          </a:solidFill>
                          <a:miter lim="800000"/>
                          <a:headEnd/>
                          <a:tailEnd/>
                        </a:ln>
                      </wps:spPr>
                      <wps:txbx>
                        <w:txbxContent>
                          <w:p w14:paraId="4E6C378E" w14:textId="77777777" w:rsidR="004C72C3" w:rsidRPr="004077DE" w:rsidRDefault="004C72C3" w:rsidP="004C72C3">
                            <w:pPr>
                              <w:rPr>
                                <w:b/>
                                <w:highlight w:val="green"/>
                                <w:lang w:val="en-AU"/>
                              </w:rPr>
                            </w:pPr>
                            <w:r w:rsidRPr="004077DE">
                              <w:rPr>
                                <w:b/>
                                <w:highlight w:val="green"/>
                                <w:lang w:val="en-AU"/>
                              </w:rPr>
                              <w:t>Agreement</w:t>
                            </w:r>
                          </w:p>
                          <w:p w14:paraId="289C1D2D" w14:textId="77777777" w:rsidR="004C72C3" w:rsidRPr="004077DE" w:rsidRDefault="004C72C3" w:rsidP="004C72C3">
                            <w:pPr>
                              <w:rPr>
                                <w:lang w:val="en-AU"/>
                              </w:rPr>
                            </w:pPr>
                            <w:r w:rsidRPr="004077DE">
                              <w:rPr>
                                <w:lang w:val="en-AU"/>
                              </w:rPr>
                              <w:t>Consider the following potential solutions and other solutions (such as combination of the solutions below) for UL full power transmission. Decision will be made in RAN1#95:</w:t>
                            </w:r>
                          </w:p>
                          <w:p w14:paraId="081811FB" w14:textId="77777777" w:rsidR="004C72C3" w:rsidRPr="004077DE" w:rsidRDefault="004C72C3" w:rsidP="004C72C3">
                            <w:pPr>
                              <w:rPr>
                                <w:lang w:val="en-AU"/>
                              </w:rPr>
                            </w:pPr>
                            <w:r w:rsidRPr="004077DE">
                              <w:rPr>
                                <w:lang w:val="en-AU"/>
                              </w:rPr>
                              <w:t>Option 1: Refinement/adjustment of UL codebook is supported</w:t>
                            </w:r>
                          </w:p>
                          <w:p w14:paraId="1E767A5D" w14:textId="77777777" w:rsidR="004C72C3" w:rsidRPr="004077DE" w:rsidRDefault="004C72C3" w:rsidP="004C72C3">
                            <w:pPr>
                              <w:numPr>
                                <w:ilvl w:val="1"/>
                                <w:numId w:val="39"/>
                              </w:numPr>
                              <w:spacing w:after="0" w:line="240" w:lineRule="auto"/>
                              <w:ind w:left="800"/>
                              <w:rPr>
                                <w:lang w:val="en-AU"/>
                              </w:rPr>
                            </w:pPr>
                            <w:r w:rsidRPr="004077DE">
                              <w:rPr>
                                <w:lang w:val="en-AU"/>
                              </w:rPr>
                              <w:t>1-1: Support a new codebookSubset for non-coherent and partial-coherent transmission capable UEs</w:t>
                            </w:r>
                          </w:p>
                          <w:p w14:paraId="424113C2" w14:textId="77777777" w:rsidR="004C72C3" w:rsidRPr="004077DE" w:rsidRDefault="004C72C3" w:rsidP="004C72C3">
                            <w:pPr>
                              <w:numPr>
                                <w:ilvl w:val="1"/>
                                <w:numId w:val="39"/>
                              </w:numPr>
                              <w:spacing w:after="0" w:line="240" w:lineRule="auto"/>
                              <w:ind w:left="800"/>
                              <w:rPr>
                                <w:lang w:val="en-AU"/>
                              </w:rPr>
                            </w:pPr>
                            <w:r w:rsidRPr="004077DE">
                              <w:rPr>
                                <w:lang w:val="en-AU"/>
                              </w:rPr>
                              <w:t>1-2: Introduce additional scaling factor for uplink codebook</w:t>
                            </w:r>
                          </w:p>
                          <w:p w14:paraId="559FC860" w14:textId="77777777" w:rsidR="004C72C3" w:rsidRPr="004077DE" w:rsidRDefault="004C72C3" w:rsidP="004C72C3">
                            <w:pPr>
                              <w:rPr>
                                <w:lang w:val="en-AU"/>
                              </w:rPr>
                            </w:pPr>
                            <w:r w:rsidRPr="004077DE">
                              <w:rPr>
                                <w:lang w:val="en-AU"/>
                              </w:rPr>
                              <w:t>Option 2: UE transparently apply a small cyclic or linear delay</w:t>
                            </w:r>
                          </w:p>
                          <w:p w14:paraId="6DD6EEFA" w14:textId="77777777" w:rsidR="004C72C3" w:rsidRPr="004077DE" w:rsidRDefault="004C72C3" w:rsidP="004C72C3">
                            <w:pPr>
                              <w:rPr>
                                <w:lang w:val="en-AU"/>
                              </w:rPr>
                            </w:pPr>
                            <w:r w:rsidRPr="004077DE">
                              <w:rPr>
                                <w:lang w:val="en-AU"/>
                              </w:rPr>
                              <w:t>Option 3: Power control mechanism to be modified to support UL full power transmission without precluding the use of full rated PA(s)</w:t>
                            </w:r>
                          </w:p>
                          <w:p w14:paraId="699AE06F" w14:textId="77777777" w:rsidR="004C72C3" w:rsidRPr="004077DE" w:rsidRDefault="004C72C3" w:rsidP="004C72C3">
                            <w:pPr>
                              <w:numPr>
                                <w:ilvl w:val="1"/>
                                <w:numId w:val="39"/>
                              </w:numPr>
                              <w:spacing w:after="0" w:line="240" w:lineRule="auto"/>
                              <w:ind w:left="800"/>
                              <w:rPr>
                                <w:lang w:val="en-AU"/>
                              </w:rPr>
                            </w:pPr>
                            <w:r w:rsidRPr="004077DE">
                              <w:rPr>
                                <w:lang w:val="en-AU"/>
                              </w:rPr>
                              <w:t>Note: Full rated PA refers to a PA having power not lower than that of the power class</w:t>
                            </w:r>
                          </w:p>
                          <w:p w14:paraId="75A0E6A6" w14:textId="77777777" w:rsidR="004C72C3" w:rsidRPr="004077DE" w:rsidRDefault="004C72C3" w:rsidP="004C72C3">
                            <w:pPr>
                              <w:rPr>
                                <w:lang w:val="en-AU"/>
                              </w:rPr>
                            </w:pPr>
                            <w:r w:rsidRPr="004077DE">
                              <w:rPr>
                                <w:lang w:val="en-AU"/>
                              </w:rPr>
                              <w:t>Option 4: Up to UE implementation (no specification impact)</w:t>
                            </w:r>
                          </w:p>
                          <w:p w14:paraId="578454B1" w14:textId="77777777" w:rsidR="004C72C3" w:rsidRPr="009550AA" w:rsidRDefault="004C72C3" w:rsidP="004C72C3">
                            <w:pPr>
                              <w:pStyle w:val="B2"/>
                              <w:tabs>
                                <w:tab w:val="num" w:pos="1440"/>
                              </w:tabs>
                              <w:ind w:left="0" w:firstLine="0"/>
                              <w:rPr>
                                <w:lang w:val="en-A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71656F" id="_x0000_t202" coordsize="21600,21600" o:spt="202" path="m,l,21600r21600,l21600,xe">
                <v:stroke joinstyle="miter"/>
                <v:path gradientshapeok="t" o:connecttype="rect"/>
              </v:shapetype>
              <v:shape id="Text Box 2" o:spid="_x0000_s1026" type="#_x0000_t202" style="position:absolute;margin-left:0;margin-top:24pt;width:473.2pt;height:220.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">
                <v:textbox>
                  <w:txbxContent>
                    <w:p w14:paraId="4E6C378E" w14:textId="77777777" w:rsidR="004C72C3" w:rsidRPr="004077DE" w:rsidRDefault="004C72C3" w:rsidP="004C72C3">
                      <w:pPr>
                        <w:rPr>
                          <w:b/>
                          <w:highlight w:val="green"/>
                          <w:lang w:val="en-AU"/>
                        </w:rPr>
                      </w:pPr>
                      <w:r w:rsidRPr="004077DE">
                        <w:rPr>
                          <w:b/>
                          <w:highlight w:val="green"/>
                          <w:lang w:val="en-AU"/>
                        </w:rPr>
                        <w:t>Agreement</w:t>
                      </w:r>
                    </w:p>
                    <w:p w14:paraId="289C1D2D" w14:textId="77777777" w:rsidR="004C72C3" w:rsidRPr="004077DE" w:rsidRDefault="004C72C3" w:rsidP="004C72C3">
                      <w:pPr>
                        <w:rPr>
                          <w:lang w:val="en-AU"/>
                        </w:rPr>
                      </w:pPr>
                      <w:r w:rsidRPr="004077DE">
                        <w:rPr>
                          <w:lang w:val="en-AU"/>
                        </w:rPr>
                        <w:t>Consider the following potential solutions and other solutions (such as combination of the solutions below) for UL full power transmission. Decision will be made in RAN1#95:</w:t>
                      </w:r>
                    </w:p>
                    <w:p w14:paraId="081811FB" w14:textId="77777777" w:rsidR="004C72C3" w:rsidRPr="004077DE" w:rsidRDefault="004C72C3" w:rsidP="004C72C3">
                      <w:pPr>
                        <w:rPr>
                          <w:lang w:val="en-AU"/>
                        </w:rPr>
                      </w:pPr>
                      <w:r w:rsidRPr="004077DE">
                        <w:rPr>
                          <w:lang w:val="en-AU"/>
                        </w:rPr>
                        <w:t>Option 1: Refinement/adjustment of UL codebook is supported</w:t>
                      </w:r>
                    </w:p>
                    <w:p w14:paraId="1E767A5D" w14:textId="77777777" w:rsidR="004C72C3" w:rsidRPr="004077DE" w:rsidRDefault="004C72C3" w:rsidP="004C72C3">
                      <w:pPr>
                        <w:numPr>
                          <w:ilvl w:val="1"/>
                          <w:numId w:val="39"/>
                        </w:numPr>
                        <w:spacing w:after="0" w:line="240" w:lineRule="auto"/>
                        <w:ind w:left="800"/>
                        <w:rPr>
                          <w:lang w:val="en-AU"/>
                        </w:rPr>
                      </w:pPr>
                      <w:r w:rsidRPr="004077DE">
                        <w:rPr>
                          <w:lang w:val="en-AU"/>
                        </w:rPr>
                        <w:t>1-1: Support a new codebookSubset for non-coherent and partial-coherent transmission capable UEs</w:t>
                      </w:r>
                    </w:p>
                    <w:p w14:paraId="424113C2" w14:textId="77777777" w:rsidR="004C72C3" w:rsidRPr="004077DE" w:rsidRDefault="004C72C3" w:rsidP="004C72C3">
                      <w:pPr>
                        <w:numPr>
                          <w:ilvl w:val="1"/>
                          <w:numId w:val="39"/>
                        </w:numPr>
                        <w:spacing w:after="0" w:line="240" w:lineRule="auto"/>
                        <w:ind w:left="800"/>
                        <w:rPr>
                          <w:lang w:val="en-AU"/>
                        </w:rPr>
                      </w:pPr>
                      <w:r w:rsidRPr="004077DE">
                        <w:rPr>
                          <w:lang w:val="en-AU"/>
                        </w:rPr>
                        <w:t>1-2: Introduce additional scaling factor for uplink codebook</w:t>
                      </w:r>
                    </w:p>
                    <w:p w14:paraId="559FC860" w14:textId="77777777" w:rsidR="004C72C3" w:rsidRPr="004077DE" w:rsidRDefault="004C72C3" w:rsidP="004C72C3">
                      <w:pPr>
                        <w:rPr>
                          <w:lang w:val="en-AU"/>
                        </w:rPr>
                      </w:pPr>
                      <w:r w:rsidRPr="004077DE">
                        <w:rPr>
                          <w:lang w:val="en-AU"/>
                        </w:rPr>
                        <w:t>Option 2: UE transparently apply a small cyclic or linear delay</w:t>
                      </w:r>
                    </w:p>
                    <w:p w14:paraId="6DD6EEFA" w14:textId="77777777" w:rsidR="004C72C3" w:rsidRPr="004077DE" w:rsidRDefault="004C72C3" w:rsidP="004C72C3">
                      <w:pPr>
                        <w:rPr>
                          <w:lang w:val="en-AU"/>
                        </w:rPr>
                      </w:pPr>
                      <w:r w:rsidRPr="004077DE">
                        <w:rPr>
                          <w:lang w:val="en-AU"/>
                        </w:rPr>
                        <w:t>Option 3: Power control mechanism to be modified to support UL full power transmission without precluding the use of full rated PA(s)</w:t>
                      </w:r>
                    </w:p>
                    <w:p w14:paraId="699AE06F" w14:textId="77777777" w:rsidR="004C72C3" w:rsidRPr="004077DE" w:rsidRDefault="004C72C3" w:rsidP="004C72C3">
                      <w:pPr>
                        <w:numPr>
                          <w:ilvl w:val="1"/>
                          <w:numId w:val="39"/>
                        </w:numPr>
                        <w:spacing w:after="0" w:line="240" w:lineRule="auto"/>
                        <w:ind w:left="800"/>
                        <w:rPr>
                          <w:lang w:val="en-AU"/>
                        </w:rPr>
                      </w:pPr>
                      <w:r w:rsidRPr="004077DE">
                        <w:rPr>
                          <w:lang w:val="en-AU"/>
                        </w:rPr>
                        <w:t>Note: Full rated PA refers to a PA having power not lower than that of the power class</w:t>
                      </w:r>
                    </w:p>
                    <w:p w14:paraId="75A0E6A6" w14:textId="77777777" w:rsidR="004C72C3" w:rsidRPr="004077DE" w:rsidRDefault="004C72C3" w:rsidP="004C72C3">
                      <w:pPr>
                        <w:rPr>
                          <w:lang w:val="en-AU"/>
                        </w:rPr>
                      </w:pPr>
                      <w:r w:rsidRPr="004077DE">
                        <w:rPr>
                          <w:lang w:val="en-AU"/>
                        </w:rPr>
                        <w:t>Option 4: Up to UE implementation (no specification impact)</w:t>
                      </w:r>
                    </w:p>
                    <w:p w14:paraId="578454B1" w14:textId="77777777" w:rsidR="004C72C3" w:rsidRPr="009550AA" w:rsidRDefault="004C72C3" w:rsidP="004C72C3">
                      <w:pPr>
                        <w:pStyle w:val="B2"/>
                        <w:tabs>
                          <w:tab w:val="num" w:pos="1440"/>
                        </w:tabs>
                        <w:ind w:left="0" w:firstLine="0"/>
                        <w:rPr>
                          <w:lang w:val="en-AU"/>
                        </w:rPr>
                      </w:pPr>
                    </w:p>
                  </w:txbxContent>
                </v:textbox>
                <w10:wrap type="square" anchorx="margin"/>
              </v:shape>
            </w:pict>
          </mc:Fallback>
        </mc:AlternateContent>
      </w:r>
      <w:r>
        <w:rPr>
          <w:lang w:val="en-AU"/>
        </w:rPr>
        <w:t xml:space="preserve">At RAN1#94bis the following agreement was reached: </w:t>
      </w:r>
    </w:p>
    <w:p w14:paraId="741BF419" w14:textId="77777777" w:rsidR="004C72C3" w:rsidRDefault="004C72C3" w:rsidP="004C72C3">
      <w:pPr>
        <w:rPr>
          <w:lang w:val="en-AU"/>
        </w:rPr>
      </w:pPr>
      <w:r>
        <w:rPr>
          <w:lang w:val="en-AU"/>
        </w:rPr>
        <w:t>The options identified in RAN1#94bis and their merits may be briefly summarized as:</w:t>
      </w:r>
    </w:p>
    <w:p w14:paraId="6F705917" w14:textId="77777777" w:rsidR="004C72C3" w:rsidRPr="0080302A" w:rsidRDefault="004C72C3" w:rsidP="004C72C3">
      <w:pPr>
        <w:spacing w:after="0"/>
        <w:ind w:left="562"/>
        <w:rPr>
          <w:i/>
          <w:lang w:val="en-AU"/>
        </w:rPr>
      </w:pPr>
      <w:r w:rsidRPr="0080302A">
        <w:rPr>
          <w:b/>
          <w:lang w:val="en-AU"/>
        </w:rPr>
        <w:t>Option 1-1:</w:t>
      </w:r>
      <w:r w:rsidRPr="0080302A">
        <w:rPr>
          <w:i/>
          <w:lang w:val="en-AU"/>
        </w:rPr>
        <w:t xml:space="preserve"> Support a new </w:t>
      </w:r>
      <w:proofErr w:type="spellStart"/>
      <w:r w:rsidRPr="0080302A">
        <w:rPr>
          <w:i/>
          <w:lang w:val="en-AU"/>
        </w:rPr>
        <w:t>codebookSubset</w:t>
      </w:r>
      <w:proofErr w:type="spellEnd"/>
      <w:r w:rsidRPr="0080302A">
        <w:rPr>
          <w:i/>
          <w:lang w:val="en-AU"/>
        </w:rPr>
        <w:t xml:space="preserve"> for non-coherent and partial-coherent transmission capable UEs</w:t>
      </w:r>
    </w:p>
    <w:p w14:paraId="4416CADB" w14:textId="77777777" w:rsidR="004C72C3" w:rsidRDefault="004C72C3" w:rsidP="004C72C3">
      <w:pPr>
        <w:ind w:left="567"/>
        <w:rPr>
          <w:lang w:val="en-AU"/>
        </w:rPr>
      </w:pPr>
      <w:r>
        <w:rPr>
          <w:lang w:val="en-AU"/>
        </w:rPr>
        <w:t xml:space="preserve">Instead of transmitting with the non-coherent or partial coherent subsets of the codebook that allow selection of antennas via zero power elements in PMIs, a UE could transmit with the codewords that use the full codebook, including those that have all non-zero power elements in PMIs.  This is equivalent to the antenna virtualization described </w:t>
      </w:r>
      <w:proofErr w:type="gramStart"/>
      <w:r>
        <w:rPr>
          <w:lang w:val="en-AU"/>
        </w:rPr>
        <w:t>above, but</w:t>
      </w:r>
      <w:proofErr w:type="gramEnd"/>
      <w:r>
        <w:rPr>
          <w:lang w:val="en-AU"/>
        </w:rPr>
        <w:t xml:space="preserve"> uses the codebook framework rather than a transparent virtualization.  The drawbacks of such an approach is that </w:t>
      </w:r>
      <w:r>
        <w:rPr>
          <w:lang w:val="en-AU"/>
        </w:rPr>
        <w:lastRenderedPageBreak/>
        <w:t xml:space="preserve">virtualization is not always possible in UEs, and of course is only applicable to </w:t>
      </w:r>
      <w:proofErr w:type="gramStart"/>
      <w:r>
        <w:rPr>
          <w:lang w:val="en-AU"/>
        </w:rPr>
        <w:t>codebook based</w:t>
      </w:r>
      <w:proofErr w:type="gramEnd"/>
      <w:r>
        <w:rPr>
          <w:lang w:val="en-AU"/>
        </w:rPr>
        <w:t xml:space="preserve"> operation.</w:t>
      </w:r>
    </w:p>
    <w:p w14:paraId="39710502" w14:textId="77777777" w:rsidR="004C72C3" w:rsidRDefault="004C72C3" w:rsidP="004C72C3">
      <w:pPr>
        <w:spacing w:after="0"/>
        <w:ind w:left="562"/>
        <w:rPr>
          <w:lang w:val="en-AU"/>
        </w:rPr>
      </w:pPr>
      <w:r w:rsidRPr="0080302A">
        <w:rPr>
          <w:b/>
          <w:lang w:val="en-AU"/>
        </w:rPr>
        <w:t xml:space="preserve">Option 1-2: </w:t>
      </w:r>
      <w:r w:rsidRPr="0080302A">
        <w:rPr>
          <w:i/>
          <w:lang w:val="en-AU"/>
        </w:rPr>
        <w:t>Introduce additional scaling factor for uplink codebook</w:t>
      </w:r>
    </w:p>
    <w:p w14:paraId="3FD9E236" w14:textId="77777777" w:rsidR="004C72C3" w:rsidRPr="009B0AF5" w:rsidRDefault="004C72C3" w:rsidP="004C72C3">
      <w:pPr>
        <w:ind w:left="567"/>
        <w:rPr>
          <w:lang w:val="en-AU"/>
        </w:rPr>
      </w:pPr>
      <w:r>
        <w:rPr>
          <w:lang w:val="en-AU"/>
        </w:rPr>
        <w:t xml:space="preserve">If certain Tx chains support higher power, the codebook could be altered such that scale factors on the corresponding on the antenna ports are proportional to the power of the Tx chains.  This would allow higher power transmission than when the scaling is equal, since the PA headroom could be reported relative to the available power on each Tx chain rather than the Tx chain with the lowest available power.   Such an approach requires the UE to map antenna ports to Tx chains according to the relative Tx power in the codebook, as well as requiring specific values of PA power.  Different numbers of PAs may be at full power as well.  Therefore, this approach seems that it may be difficult to specify and/or as restrictive on UE implementation.  It also only allows full power for </w:t>
      </w:r>
      <w:proofErr w:type="gramStart"/>
      <w:r>
        <w:rPr>
          <w:lang w:val="en-AU"/>
        </w:rPr>
        <w:t>codebook based</w:t>
      </w:r>
      <w:proofErr w:type="gramEnd"/>
      <w:r>
        <w:rPr>
          <w:lang w:val="en-AU"/>
        </w:rPr>
        <w:t xml:space="preserve"> operation. </w:t>
      </w:r>
    </w:p>
    <w:p w14:paraId="24C80C35" w14:textId="77777777" w:rsidR="004C72C3" w:rsidRDefault="004C72C3" w:rsidP="004C72C3">
      <w:pPr>
        <w:spacing w:after="0"/>
        <w:ind w:left="562"/>
        <w:rPr>
          <w:lang w:val="en-AU"/>
        </w:rPr>
      </w:pPr>
      <w:r w:rsidRPr="0080302A">
        <w:rPr>
          <w:b/>
          <w:lang w:val="en-AU"/>
        </w:rPr>
        <w:t>Option 2</w:t>
      </w:r>
      <w:r>
        <w:rPr>
          <w:lang w:val="en-AU"/>
        </w:rPr>
        <w:t>:</w:t>
      </w:r>
      <w:r w:rsidRPr="0080302A">
        <w:rPr>
          <w:i/>
          <w:lang w:val="en-AU"/>
        </w:rPr>
        <w:t xml:space="preserve"> UE transparently applies a small cyclic or linear delay</w:t>
      </w:r>
    </w:p>
    <w:p w14:paraId="298917E2" w14:textId="77777777" w:rsidR="004C72C3" w:rsidRDefault="004C72C3" w:rsidP="004C72C3">
      <w:pPr>
        <w:ind w:left="567"/>
        <w:rPr>
          <w:lang w:val="en-AU"/>
        </w:rPr>
      </w:pPr>
      <w:r>
        <w:rPr>
          <w:lang w:val="en-AU"/>
        </w:rPr>
        <w:t xml:space="preserve">If non-full power PAs are used CDD may be used for enabling full power PUSCH transmission. For instance, to obtain a full power rank 1 transmission from a 4tx non-coherent UE the virtualization [1 1 1 1] may be applied to the antenna ports of the UE in combination with CDD. If the same is done for SRS one could hence measure and obtain the relevant CSI at the gNB side. However, to also enable higher rank transmission this approach is not feasible; the virtualization [1 1 1 1] will not provide CSI enabling higher rank transmission. Considering rank 4 transmission the UE could instead use the identity matrix as virtualisation for the SRS which would provide CSI to the gNB that could be used for a rank 4 transmission and this transmission could in turn be carried out with full power since each PA could transmit one layer. </w:t>
      </w:r>
    </w:p>
    <w:p w14:paraId="0B660FA6" w14:textId="77777777" w:rsidR="004C72C3" w:rsidRPr="007F7DC3" w:rsidRDefault="004C72C3" w:rsidP="004C72C3">
      <w:pPr>
        <w:ind w:left="567"/>
        <w:rPr>
          <w:lang w:val="en-AU"/>
        </w:rPr>
      </w:pPr>
      <w:r>
        <w:rPr>
          <w:lang w:val="en-AU"/>
        </w:rPr>
        <w:t xml:space="preserve">In general, each SRS resource could be virtualized transparently to deliver full power for a given rank by utilizing CDD. As rank increases, fewer PAs are virtualized, such that a 4 TX UE with rank 1, 2, or 4 could virtualize using 4, 2, or 1 Tx chains per port.  In rank 3 operation, one port could optionally be virtualized over 2 Tx chains to provide higher power than the other two ports according to UE implementation.  Frequency selective virtualization could also be a UE implementation option, in which case the power on the ports could be made equal.  In any case it may be observed that SRS virtualization must vary with rank </w:t>
      </w:r>
      <w:proofErr w:type="gramStart"/>
      <w:r>
        <w:rPr>
          <w:lang w:val="en-AU"/>
        </w:rPr>
        <w:t>in order for</w:t>
      </w:r>
      <w:proofErr w:type="gramEnd"/>
      <w:r>
        <w:rPr>
          <w:lang w:val="en-AU"/>
        </w:rPr>
        <w:t xml:space="preserve"> gNB to have proper channel estimates from the SRS.  This is not possible with one SRS resource set.</w:t>
      </w:r>
    </w:p>
    <w:p w14:paraId="6572FEE9" w14:textId="77777777" w:rsidR="004C72C3" w:rsidRDefault="004C72C3" w:rsidP="004C72C3">
      <w:pPr>
        <w:spacing w:after="0"/>
        <w:ind w:left="562"/>
        <w:rPr>
          <w:lang w:val="en-AU"/>
        </w:rPr>
      </w:pPr>
      <w:r w:rsidRPr="0080302A">
        <w:rPr>
          <w:b/>
          <w:lang w:val="en-AU"/>
        </w:rPr>
        <w:t>Option 3:</w:t>
      </w:r>
      <w:r>
        <w:rPr>
          <w:lang w:val="en-AU"/>
        </w:rPr>
        <w:t xml:space="preserve"> </w:t>
      </w:r>
      <w:r w:rsidRPr="0080302A">
        <w:rPr>
          <w:i/>
          <w:lang w:val="en-AU"/>
        </w:rPr>
        <w:t>Power control mechanism to be modified to support UL full power transmission without precluding the use of full rated PA(s)</w:t>
      </w:r>
    </w:p>
    <w:p w14:paraId="07AA25E9" w14:textId="28D2C16B" w:rsidR="004C72C3" w:rsidRPr="00454A1C" w:rsidRDefault="004C72C3" w:rsidP="004C72C3">
      <w:pPr>
        <w:ind w:left="567"/>
        <w:rPr>
          <w:lang w:val="en-AU"/>
        </w:rPr>
      </w:pPr>
      <w:r>
        <w:rPr>
          <w:lang w:val="en-AU"/>
        </w:rPr>
        <w:t xml:space="preserve">In this case, the power control mechanism is set such that </w:t>
      </w:r>
      <w:proofErr w:type="spellStart"/>
      <w:r>
        <w:rPr>
          <w:lang w:val="en-AU"/>
        </w:rPr>
        <w:t>Pcmax</w:t>
      </w:r>
      <w:proofErr w:type="spellEnd"/>
      <w:r>
        <w:rPr>
          <w:lang w:val="en-AU"/>
        </w:rPr>
        <w:t xml:space="preserve"> may be delivered for any rank transmission. </w:t>
      </w:r>
      <w:r w:rsidR="00A915AA">
        <w:rPr>
          <w:lang w:val="en-AU"/>
        </w:rPr>
        <w:t xml:space="preserve">It will be up to UE implementation how to achieve </w:t>
      </w:r>
      <w:proofErr w:type="gramStart"/>
      <w:r w:rsidR="00A915AA">
        <w:rPr>
          <w:lang w:val="en-AU"/>
        </w:rPr>
        <w:t>this</w:t>
      </w:r>
      <w:proofErr w:type="gramEnd"/>
      <w:r w:rsidR="00A915AA">
        <w:rPr>
          <w:lang w:val="en-AU"/>
        </w:rPr>
        <w:t xml:space="preserve"> but some potential structures are </w:t>
      </w:r>
      <w:proofErr w:type="spellStart"/>
      <w:r w:rsidR="00A915AA">
        <w:rPr>
          <w:lang w:val="en-AU"/>
        </w:rPr>
        <w:t>consided</w:t>
      </w:r>
      <w:proofErr w:type="spellEnd"/>
      <w:r w:rsidR="00A915AA">
        <w:rPr>
          <w:lang w:val="en-AU"/>
        </w:rPr>
        <w:t xml:space="preserve"> in [2]. It should be noted that although it in some cases will imply that full power PAs are required this is not true in general and we will therefore refer to this approach as using “higher power PAs”. </w:t>
      </w:r>
      <w:r>
        <w:rPr>
          <w:lang w:val="en-AU"/>
        </w:rPr>
        <w:t xml:space="preserve"> </w:t>
      </w:r>
    </w:p>
    <w:p w14:paraId="257D1963" w14:textId="77777777" w:rsidR="004C72C3" w:rsidRDefault="004C72C3" w:rsidP="004C72C3">
      <w:pPr>
        <w:spacing w:after="0"/>
        <w:ind w:left="562"/>
        <w:rPr>
          <w:lang w:val="en-AU"/>
        </w:rPr>
      </w:pPr>
      <w:r w:rsidRPr="0080302A">
        <w:rPr>
          <w:b/>
          <w:lang w:val="en-AU"/>
        </w:rPr>
        <w:t>Option 4:</w:t>
      </w:r>
      <w:r w:rsidRPr="000C1D6C">
        <w:rPr>
          <w:lang w:val="en-AU"/>
        </w:rPr>
        <w:t xml:space="preserve"> Up to UE </w:t>
      </w:r>
      <w:r w:rsidRPr="0080302A">
        <w:rPr>
          <w:i/>
          <w:lang w:val="en-AU"/>
        </w:rPr>
        <w:t>implementation</w:t>
      </w:r>
      <w:r w:rsidRPr="000C1D6C">
        <w:rPr>
          <w:lang w:val="en-AU"/>
        </w:rPr>
        <w:t xml:space="preserve"> (no specification impact)</w:t>
      </w:r>
    </w:p>
    <w:p w14:paraId="4B43B837" w14:textId="77777777" w:rsidR="004C72C3" w:rsidRDefault="004C72C3" w:rsidP="004C72C3">
      <w:pPr>
        <w:ind w:left="567"/>
        <w:rPr>
          <w:lang w:val="en-AU"/>
        </w:rPr>
      </w:pPr>
      <w:r>
        <w:rPr>
          <w:lang w:val="en-AU"/>
        </w:rPr>
        <w:t xml:space="preserve">Since Rel-15 UEs are not required to deliver full power according to the agreement in RAN1#94bis and since a work item has anyway been defined for UL full power MIMO, it is evident that there is specification impact </w:t>
      </w:r>
      <w:r>
        <w:rPr>
          <w:lang w:val="en-AU"/>
        </w:rPr>
        <w:sym w:font="Wingdings" w:char="F04A"/>
      </w:r>
      <w:r>
        <w:rPr>
          <w:lang w:val="en-AU"/>
        </w:rPr>
        <w:t>.  For example, a UE capability of full power must be defined, and the power scaling mechanism from Rel-15 will need to be updated to support full power.</w:t>
      </w:r>
    </w:p>
    <w:p w14:paraId="7FFEFA3B" w14:textId="77777777" w:rsidR="004C72C3" w:rsidRDefault="004C72C3" w:rsidP="004C72C3">
      <w:pPr>
        <w:spacing w:after="0"/>
        <w:rPr>
          <w:lang w:val="en-AU"/>
        </w:rPr>
      </w:pPr>
      <w:r w:rsidRPr="0080302A">
        <w:rPr>
          <w:b/>
          <w:lang w:val="en-AU"/>
        </w:rPr>
        <w:lastRenderedPageBreak/>
        <w:t>Observations</w:t>
      </w:r>
      <w:r>
        <w:rPr>
          <w:lang w:val="en-AU"/>
        </w:rPr>
        <w:t>:</w:t>
      </w:r>
    </w:p>
    <w:p w14:paraId="73D2AAFB" w14:textId="77777777" w:rsidR="004C72C3" w:rsidRPr="003B661B" w:rsidRDefault="004C72C3" w:rsidP="004C72C3">
      <w:pPr>
        <w:pStyle w:val="ListParagraph"/>
        <w:numPr>
          <w:ilvl w:val="0"/>
          <w:numId w:val="45"/>
        </w:numPr>
        <w:rPr>
          <w:lang w:val="en-AU"/>
        </w:rPr>
      </w:pPr>
      <w:r w:rsidRPr="007731E7">
        <w:rPr>
          <w:lang w:val="en-AU"/>
        </w:rPr>
        <w:t xml:space="preserve">Virtualizing through a codebook </w:t>
      </w:r>
      <w:r w:rsidRPr="003B661B">
        <w:rPr>
          <w:lang w:val="en-AU"/>
        </w:rPr>
        <w:t>does not support non-</w:t>
      </w:r>
      <w:proofErr w:type="gramStart"/>
      <w:r w:rsidRPr="003B661B">
        <w:rPr>
          <w:lang w:val="en-AU"/>
        </w:rPr>
        <w:t>codebook based</w:t>
      </w:r>
      <w:proofErr w:type="gramEnd"/>
      <w:r w:rsidRPr="003B661B">
        <w:rPr>
          <w:lang w:val="en-AU"/>
        </w:rPr>
        <w:t xml:space="preserve"> operation.</w:t>
      </w:r>
    </w:p>
    <w:p w14:paraId="73F661A2" w14:textId="77777777" w:rsidR="004C72C3" w:rsidRDefault="004C72C3" w:rsidP="004C72C3">
      <w:pPr>
        <w:pStyle w:val="ListParagraph"/>
        <w:numPr>
          <w:ilvl w:val="0"/>
          <w:numId w:val="45"/>
        </w:numPr>
        <w:rPr>
          <w:lang w:val="en-AU"/>
        </w:rPr>
      </w:pPr>
      <w:r w:rsidRPr="003B661B">
        <w:rPr>
          <w:lang w:val="en-AU"/>
        </w:rPr>
        <w:t>Transparent virtualization can support both codebook and non-</w:t>
      </w:r>
      <w:proofErr w:type="gramStart"/>
      <w:r w:rsidRPr="003B661B">
        <w:rPr>
          <w:lang w:val="en-AU"/>
        </w:rPr>
        <w:t>codebook based</w:t>
      </w:r>
      <w:proofErr w:type="gramEnd"/>
      <w:r w:rsidRPr="003B661B">
        <w:rPr>
          <w:lang w:val="en-AU"/>
        </w:rPr>
        <w:t xml:space="preserve"> operation</w:t>
      </w:r>
    </w:p>
    <w:p w14:paraId="4E0C66D5" w14:textId="77777777" w:rsidR="004C72C3" w:rsidRPr="007731E7" w:rsidRDefault="004C72C3" w:rsidP="004C72C3">
      <w:pPr>
        <w:pStyle w:val="ListParagraph"/>
        <w:numPr>
          <w:ilvl w:val="0"/>
          <w:numId w:val="45"/>
        </w:numPr>
        <w:rPr>
          <w:lang w:val="en-AU"/>
        </w:rPr>
      </w:pPr>
      <w:r>
        <w:rPr>
          <w:lang w:val="en-AU"/>
        </w:rPr>
        <w:t>Changing the relative scale factor of antenna ports in a codebook may be difficult to specify and restrictive on UE implementation</w:t>
      </w:r>
    </w:p>
    <w:p w14:paraId="4CD1D145" w14:textId="77777777" w:rsidR="004C72C3" w:rsidRPr="003B661B" w:rsidRDefault="004C72C3" w:rsidP="004C72C3">
      <w:pPr>
        <w:pStyle w:val="ListParagraph"/>
        <w:numPr>
          <w:ilvl w:val="0"/>
          <w:numId w:val="45"/>
        </w:numPr>
        <w:rPr>
          <w:lang w:val="en-AU"/>
        </w:rPr>
      </w:pPr>
      <w:r w:rsidRPr="003B661B">
        <w:rPr>
          <w:lang w:val="en-AU"/>
        </w:rPr>
        <w:t>The effective channel of an SRS port varies with the number of virtualized antennas, and therefore it should vary with the rank of the PUSCH</w:t>
      </w:r>
    </w:p>
    <w:p w14:paraId="28562061" w14:textId="77777777" w:rsidR="004C72C3" w:rsidRPr="004749C8" w:rsidRDefault="004C72C3" w:rsidP="004C72C3">
      <w:pPr>
        <w:pStyle w:val="ListParagraph"/>
        <w:numPr>
          <w:ilvl w:val="1"/>
          <w:numId w:val="45"/>
        </w:numPr>
        <w:rPr>
          <w:lang w:val="en-AU"/>
        </w:rPr>
      </w:pPr>
      <w:r w:rsidRPr="003B661B">
        <w:rPr>
          <w:lang w:val="en-AU"/>
        </w:rPr>
        <w:t>However, this does not seem possible with a single SRS resource or SRS resource set</w:t>
      </w:r>
    </w:p>
    <w:p w14:paraId="0B24FAB0" w14:textId="77777777" w:rsidR="004C72C3" w:rsidRDefault="004C72C3" w:rsidP="004077DE">
      <w:pPr>
        <w:pStyle w:val="Heading2"/>
      </w:pPr>
      <w:r>
        <w:t>Potential solutions to enable full rank power transmission</w:t>
      </w:r>
    </w:p>
    <w:p w14:paraId="24B1F66D" w14:textId="77777777" w:rsidR="000A055C" w:rsidRDefault="000A055C" w:rsidP="000A055C">
      <w:pPr>
        <w:rPr>
          <w:lang w:val="en-AU"/>
        </w:rPr>
      </w:pPr>
      <w:r>
        <w:rPr>
          <w:lang w:val="en-AU"/>
        </w:rPr>
        <w:t xml:space="preserve">For NR rel-16 we propose </w:t>
      </w:r>
    </w:p>
    <w:p w14:paraId="5A4767D2" w14:textId="77777777" w:rsidR="000A055C" w:rsidRPr="00DD2C29" w:rsidRDefault="000A055C" w:rsidP="000A055C">
      <w:pPr>
        <w:rPr>
          <w:b/>
          <w:u w:val="single"/>
          <w:lang w:val="en-GB" w:eastAsia="zh-CN"/>
        </w:rPr>
      </w:pPr>
      <w:r w:rsidRPr="00DD2C29">
        <w:rPr>
          <w:b/>
          <w:u w:val="single"/>
          <w:lang w:val="en-GB" w:eastAsia="zh-CN"/>
        </w:rPr>
        <w:t>Proposal</w:t>
      </w:r>
      <w:r>
        <w:rPr>
          <w:b/>
          <w:u w:val="single"/>
          <w:lang w:val="en-GB" w:eastAsia="zh-CN"/>
        </w:rPr>
        <w:t>:</w:t>
      </w:r>
    </w:p>
    <w:p w14:paraId="0066D449" w14:textId="77777777" w:rsidR="000A055C" w:rsidRPr="00442D24" w:rsidRDefault="000A055C" w:rsidP="000A055C">
      <w:pPr>
        <w:pStyle w:val="ListParagraph"/>
        <w:numPr>
          <w:ilvl w:val="0"/>
          <w:numId w:val="38"/>
        </w:numPr>
        <w:rPr>
          <w:rFonts w:asciiTheme="minorHAnsi" w:hAnsiTheme="minorHAnsi"/>
          <w:lang w:val="en-AU"/>
        </w:rPr>
      </w:pPr>
      <w:r w:rsidRPr="00442D24">
        <w:rPr>
          <w:rFonts w:asciiTheme="minorHAnsi" w:hAnsiTheme="minorHAnsi"/>
          <w:lang w:val="en-AU"/>
        </w:rPr>
        <w:t>Introduce a UE capability allowing a rel-16 UE to signal full power UL transmission capability</w:t>
      </w:r>
    </w:p>
    <w:p w14:paraId="03EAA4B4" w14:textId="77777777" w:rsidR="000A055C" w:rsidRDefault="000A055C" w:rsidP="000A055C">
      <w:pPr>
        <w:rPr>
          <w:lang w:val="en-AU"/>
        </w:rPr>
      </w:pPr>
      <w:r>
        <w:rPr>
          <w:lang w:val="en-AU"/>
        </w:rPr>
        <w:t>Hence, one could introduce a UE capability stating whether a UE is able to transit full UL power or not. If it is not able to do so it will operate in the same way as a rel-15 UE, and consequently also have the same shortcomings in terms of UL power.</w:t>
      </w:r>
    </w:p>
    <w:p w14:paraId="5BBD3900" w14:textId="12CE34E4" w:rsidR="004C72C3" w:rsidRDefault="000A055C">
      <w:pPr>
        <w:rPr>
          <w:lang w:val="en-GB" w:eastAsia="zh-CN"/>
        </w:rPr>
      </w:pPr>
      <w:r>
        <w:rPr>
          <w:lang w:val="en-GB" w:eastAsia="zh-CN"/>
        </w:rPr>
        <w:t xml:space="preserve">We furthermore believe that enabling full power transmission for both the cases of higher power PAs or </w:t>
      </w:r>
      <w:proofErr w:type="gramStart"/>
      <w:r>
        <w:rPr>
          <w:lang w:val="en-GB" w:eastAsia="zh-CN"/>
        </w:rPr>
        <w:t>virtualization based</w:t>
      </w:r>
      <w:proofErr w:type="gramEnd"/>
      <w:r>
        <w:rPr>
          <w:lang w:val="en-GB" w:eastAsia="zh-CN"/>
        </w:rPr>
        <w:t xml:space="preserve"> solutions is beneficial. The solutions of using higher power PAs will in a straight forward way enable full power </w:t>
      </w:r>
      <w:r w:rsidR="00AF35A3">
        <w:rPr>
          <w:lang w:val="en-GB" w:eastAsia="zh-CN"/>
        </w:rPr>
        <w:t>transmission. F</w:t>
      </w:r>
      <w:r w:rsidR="004C72C3">
        <w:rPr>
          <w:lang w:val="en-GB" w:eastAsia="zh-CN"/>
        </w:rPr>
        <w:t xml:space="preserve">or UEs that do not have full power PAs, they will not be able to transmit </w:t>
      </w:r>
      <w:proofErr w:type="spellStart"/>
      <w:r w:rsidR="004C72C3">
        <w:rPr>
          <w:lang w:val="en-GB" w:eastAsia="zh-CN"/>
        </w:rPr>
        <w:t>Pcmax</w:t>
      </w:r>
      <w:proofErr w:type="spellEnd"/>
      <w:r w:rsidR="004C72C3">
        <w:rPr>
          <w:lang w:val="en-GB" w:eastAsia="zh-CN"/>
        </w:rPr>
        <w:t xml:space="preserve"> on a given antenna port unless they are allowed to virtualize multiple Tx chains to form the port.  As discussed above</w:t>
      </w:r>
      <w:r w:rsidR="00AF35A3">
        <w:rPr>
          <w:lang w:val="en-GB" w:eastAsia="zh-CN"/>
        </w:rPr>
        <w:t xml:space="preserve"> in connection to Option 2</w:t>
      </w:r>
      <w:r w:rsidR="004C72C3">
        <w:rPr>
          <w:lang w:val="en-GB" w:eastAsia="zh-CN"/>
        </w:rPr>
        <w:t xml:space="preserve">, this virtualization of the SRS ports </w:t>
      </w:r>
      <w:r w:rsidR="00AF35A3">
        <w:rPr>
          <w:lang w:val="en-GB" w:eastAsia="zh-CN"/>
        </w:rPr>
        <w:t>will</w:t>
      </w:r>
      <w:r w:rsidR="004C72C3">
        <w:rPr>
          <w:lang w:val="en-GB" w:eastAsia="zh-CN"/>
        </w:rPr>
        <w:t xml:space="preserve"> need to vary according to rank when relying on CDD to provide full power transmission.  Since the effective channel of these SRS ports also varies with rank, then a single SRS resource or resource set may be insufficient.  Consequently, the UE could transmit SRS resources or sets corresponding to each rank so that the channel estimation is accurate.  When this is done the </w:t>
      </w:r>
      <w:r w:rsidR="00AF35A3">
        <w:rPr>
          <w:lang w:val="en-GB" w:eastAsia="zh-CN"/>
        </w:rPr>
        <w:t xml:space="preserve">same </w:t>
      </w:r>
      <w:r w:rsidR="004C72C3">
        <w:rPr>
          <w:lang w:val="en-GB" w:eastAsia="zh-CN"/>
        </w:rPr>
        <w:t xml:space="preserve">power scaling </w:t>
      </w:r>
      <w:r w:rsidR="00AF35A3">
        <w:rPr>
          <w:lang w:val="en-GB" w:eastAsia="zh-CN"/>
        </w:rPr>
        <w:t xml:space="preserve">as for the higher power PAs approach can be utilized. </w:t>
      </w:r>
    </w:p>
    <w:p w14:paraId="05409247" w14:textId="77777777" w:rsidR="004C72C3" w:rsidRDefault="004C72C3" w:rsidP="004C72C3">
      <w:pPr>
        <w:rPr>
          <w:lang w:val="en-GB" w:eastAsia="zh-CN"/>
        </w:rPr>
      </w:pPr>
      <w:r>
        <w:rPr>
          <w:lang w:val="en-GB" w:eastAsia="zh-CN"/>
        </w:rPr>
        <w:t xml:space="preserve">Based on this we have the following proposal: </w:t>
      </w:r>
    </w:p>
    <w:p w14:paraId="19384FE3" w14:textId="77777777" w:rsidR="004C72C3" w:rsidRPr="00DD2C29" w:rsidRDefault="004C72C3" w:rsidP="004C72C3">
      <w:pPr>
        <w:rPr>
          <w:b/>
          <w:u w:val="single"/>
          <w:lang w:val="en-GB" w:eastAsia="zh-CN"/>
        </w:rPr>
      </w:pPr>
      <w:r w:rsidRPr="00DD2C29">
        <w:rPr>
          <w:b/>
          <w:u w:val="single"/>
          <w:lang w:val="en-GB" w:eastAsia="zh-CN"/>
        </w:rPr>
        <w:t>Proposal</w:t>
      </w:r>
      <w:r>
        <w:rPr>
          <w:b/>
          <w:u w:val="single"/>
          <w:lang w:val="en-GB" w:eastAsia="zh-CN"/>
        </w:rPr>
        <w:t>:</w:t>
      </w:r>
    </w:p>
    <w:p w14:paraId="205D83BE" w14:textId="77777777" w:rsidR="004C72C3" w:rsidRPr="00A11D0B" w:rsidRDefault="004C72C3" w:rsidP="004C72C3">
      <w:pPr>
        <w:pStyle w:val="ListParagraph"/>
        <w:numPr>
          <w:ilvl w:val="0"/>
          <w:numId w:val="38"/>
        </w:numPr>
        <w:rPr>
          <w:lang w:val="en-AU"/>
        </w:rPr>
      </w:pPr>
      <w:r>
        <w:rPr>
          <w:lang w:val="en-AU"/>
        </w:rPr>
        <w:t xml:space="preserve">For UEs with full power transmission capability </w:t>
      </w:r>
      <w:r w:rsidRPr="00A11D0B">
        <w:rPr>
          <w:lang w:val="en-AU"/>
        </w:rPr>
        <w:t xml:space="preserve">UL power control for PUSCH should be modified such that UEs can transmit with a total power </w:t>
      </w:r>
      <w:r>
        <w:rPr>
          <w:iCs/>
          <w:position w:val="-12"/>
          <w:lang w:eastAsia="en-US"/>
        </w:rPr>
        <w:object w:dxaOrig="1590" w:dyaOrig="330" w14:anchorId="5AC3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8.9pt;height:14.4pt" o:ole="">
            <v:imagedata r:id="rId8" o:title=""/>
          </v:shape>
          <o:OLEObject Type="Embed" ProgID="Equation.3" ShapeID="_x0000_i1035" DrawAspect="Content" ObjectID="_1602706024" r:id="rId9"/>
        </w:object>
      </w:r>
      <w:r w:rsidRPr="00A11D0B">
        <w:rPr>
          <w:iCs/>
          <w:lang w:val="en-AU" w:eastAsia="en-US"/>
        </w:rPr>
        <w:t xml:space="preserve"> independent on rank, allowing the UE to transmit at its maximum rated power. </w:t>
      </w:r>
    </w:p>
    <w:p w14:paraId="3E93E66B" w14:textId="77777777" w:rsidR="004C72C3" w:rsidRDefault="004C72C3" w:rsidP="004C72C3">
      <w:pPr>
        <w:pStyle w:val="ListParagraph"/>
        <w:numPr>
          <w:ilvl w:val="1"/>
          <w:numId w:val="38"/>
        </w:numPr>
        <w:rPr>
          <w:lang w:val="en-AU"/>
        </w:rPr>
      </w:pPr>
      <w:r>
        <w:rPr>
          <w:lang w:val="en-AU"/>
        </w:rPr>
        <w:t>This is done for both non-codebook and codebook-based transmission</w:t>
      </w:r>
    </w:p>
    <w:p w14:paraId="27DB4D6D" w14:textId="58EAB378" w:rsidR="004C72C3" w:rsidRPr="004077DE" w:rsidRDefault="004C72C3" w:rsidP="004077DE">
      <w:pPr>
        <w:pStyle w:val="ListParagraph"/>
        <w:numPr>
          <w:ilvl w:val="1"/>
          <w:numId w:val="38"/>
        </w:numPr>
        <w:rPr>
          <w:lang w:val="en-AU"/>
        </w:rPr>
      </w:pPr>
      <w:r>
        <w:rPr>
          <w:rFonts w:asciiTheme="minorHAnsi" w:hAnsiTheme="minorHAnsi"/>
          <w:lang w:val="en-AU"/>
        </w:rPr>
        <w:t>UE implementations using either higher power PAs or virtualization are supported</w:t>
      </w:r>
    </w:p>
    <w:p w14:paraId="38A6AC29" w14:textId="77777777" w:rsidR="000A055C" w:rsidRDefault="00253319" w:rsidP="00A80210">
      <w:pPr>
        <w:rPr>
          <w:lang w:val="en-AU"/>
        </w:rPr>
      </w:pPr>
      <w:r>
        <w:rPr>
          <w:lang w:val="en-AU"/>
        </w:rPr>
        <w:t>We furthermore also provide a text proposal for capturing these proposals</w:t>
      </w:r>
      <w:r w:rsidR="00AF35A3">
        <w:rPr>
          <w:lang w:val="en-AU"/>
        </w:rPr>
        <w:t xml:space="preserve"> in [2]</w:t>
      </w:r>
      <w:r>
        <w:rPr>
          <w:lang w:val="en-AU"/>
        </w:rPr>
        <w:t xml:space="preserve">. </w:t>
      </w:r>
    </w:p>
    <w:p w14:paraId="6A7932F2" w14:textId="77777777" w:rsidR="00370574" w:rsidRDefault="00370574" w:rsidP="00370574">
      <w:pPr>
        <w:pStyle w:val="Heading1"/>
      </w:pPr>
      <w:r w:rsidRPr="00A80210">
        <w:rPr>
          <w:lang w:val="en-AU"/>
        </w:rPr>
        <w:t>Full TX Power UL transmission</w:t>
      </w:r>
      <w:r>
        <w:rPr>
          <w:lang w:val="en-AU"/>
        </w:rPr>
        <w:t xml:space="preserve"> for SRS</w:t>
      </w:r>
    </w:p>
    <w:p w14:paraId="46A45E75" w14:textId="77777777" w:rsidR="00370574" w:rsidRDefault="00370574" w:rsidP="00370574">
      <w:pPr>
        <w:rPr>
          <w:lang w:val="en-AU"/>
        </w:rPr>
      </w:pPr>
      <w:r>
        <w:rPr>
          <w:lang w:val="en-AU"/>
        </w:rPr>
        <w:t>In our companion paper [</w:t>
      </w:r>
      <w:r w:rsidRPr="00390D94">
        <w:rPr>
          <w:lang w:val="en-AU"/>
        </w:rPr>
        <w:t>3</w:t>
      </w:r>
      <w:r>
        <w:rPr>
          <w:lang w:val="en-AU"/>
        </w:rPr>
        <w:t xml:space="preserve">] we provide a detailed analysis on full TX power UL transmission for SRS. Based on this analysis we make the following observations: </w:t>
      </w:r>
    </w:p>
    <w:p w14:paraId="2AC8819A" w14:textId="77777777" w:rsidR="00370574" w:rsidRDefault="00370574" w:rsidP="00370574">
      <w:pPr>
        <w:spacing w:after="0"/>
        <w:rPr>
          <w:b/>
          <w:lang w:val="en-AU"/>
        </w:rPr>
      </w:pPr>
      <w:r w:rsidRPr="00D635F3">
        <w:rPr>
          <w:b/>
          <w:lang w:val="en-AU"/>
        </w:rPr>
        <w:lastRenderedPageBreak/>
        <w:t>Observation</w:t>
      </w:r>
      <w:r>
        <w:rPr>
          <w:b/>
          <w:lang w:val="en-AU"/>
        </w:rPr>
        <w:t>s</w:t>
      </w:r>
      <w:r w:rsidRPr="00D635F3">
        <w:rPr>
          <w:b/>
          <w:lang w:val="en-AU"/>
        </w:rPr>
        <w:t xml:space="preserve">: </w:t>
      </w:r>
    </w:p>
    <w:p w14:paraId="6920B547" w14:textId="77777777" w:rsidR="00370574" w:rsidRPr="003F3F39" w:rsidRDefault="00370574" w:rsidP="00370574">
      <w:pPr>
        <w:pStyle w:val="ListParagraph"/>
        <w:numPr>
          <w:ilvl w:val="0"/>
          <w:numId w:val="14"/>
        </w:numPr>
        <w:rPr>
          <w:rFonts w:asciiTheme="minorHAnsi" w:hAnsiTheme="minorHAnsi"/>
          <w:lang w:val="en-AU"/>
        </w:rPr>
      </w:pPr>
      <w:r w:rsidRPr="006A4858">
        <w:rPr>
          <w:rFonts w:ascii="Times New Roman" w:hAnsi="Times New Roman" w:cs="Times New Roman"/>
          <w:lang w:val="en-AU"/>
        </w:rPr>
        <w:t xml:space="preserve"> </w:t>
      </w:r>
      <w:r w:rsidRPr="003F3F39">
        <w:rPr>
          <w:rFonts w:asciiTheme="minorHAnsi" w:hAnsiTheme="minorHAnsi"/>
          <w:lang w:val="en-GB" w:eastAsia="zh-CN"/>
        </w:rPr>
        <w:t xml:space="preserve">For codebook use of SRS: </w:t>
      </w:r>
    </w:p>
    <w:p w14:paraId="26D757CF" w14:textId="77777777" w:rsidR="00370574" w:rsidRPr="003F3F39" w:rsidRDefault="00370574" w:rsidP="00370574">
      <w:pPr>
        <w:pStyle w:val="ListParagraph"/>
        <w:numPr>
          <w:ilvl w:val="1"/>
          <w:numId w:val="14"/>
        </w:numPr>
        <w:rPr>
          <w:rFonts w:asciiTheme="minorHAnsi" w:hAnsiTheme="minorHAnsi"/>
          <w:lang w:val="en-AU"/>
        </w:rPr>
      </w:pPr>
      <w:r w:rsidRPr="003F3F39">
        <w:rPr>
          <w:rFonts w:asciiTheme="minorHAnsi" w:hAnsiTheme="minorHAnsi"/>
          <w:lang w:val="en-GB" w:eastAsia="zh-CN"/>
        </w:rPr>
        <w:t xml:space="preserve">A full power UE will be able to transmit up to </w:t>
      </w:r>
      <w:r w:rsidRPr="003F3F39">
        <w:rPr>
          <w:rFonts w:asciiTheme="minorHAnsi" w:hAnsiTheme="minorHAnsi"/>
          <w:iCs/>
          <w:position w:val="-14"/>
        </w:rPr>
        <w:object w:dxaOrig="1340" w:dyaOrig="380" w14:anchorId="22E73FB2">
          <v:shape id="_x0000_i1037" type="#_x0000_t75" style="width:65.1pt;height:21.9pt" o:ole="">
            <v:imagedata r:id="rId10" o:title=""/>
          </v:shape>
          <o:OLEObject Type="Embed" ProgID="Equation.3" ShapeID="_x0000_i1037" DrawAspect="Content" ObjectID="_1602706025" r:id="rId11"/>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r w:rsidRPr="003F3F39">
        <w:rPr>
          <w:rFonts w:asciiTheme="minorHAnsi" w:hAnsiTheme="minorHAnsi"/>
          <w:i/>
          <w:lang w:val="en-AU"/>
        </w:rPr>
        <w:t>i</w:t>
      </w:r>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14:paraId="2E507312" w14:textId="77777777" w:rsidR="00370574" w:rsidRPr="003F3F39" w:rsidRDefault="00370574" w:rsidP="00370574">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F5B4F55" w14:textId="77777777" w:rsidR="00370574" w:rsidRPr="00FE4312" w:rsidRDefault="00370574" w:rsidP="00370574">
      <w:pPr>
        <w:pStyle w:val="ListParagraph"/>
        <w:numPr>
          <w:ilvl w:val="1"/>
          <w:numId w:val="14"/>
        </w:numPr>
        <w:rPr>
          <w:rFonts w:ascii="Times New Roman" w:hAnsi="Times New Roman" w:cs="Times New Roman"/>
          <w:lang w:val="en-AU"/>
        </w:rPr>
      </w:pPr>
      <w:r w:rsidRPr="003F3F39">
        <w:rPr>
          <w:rFonts w:asciiTheme="minorHAnsi" w:hAnsiTheme="minorHAnsi"/>
          <w:lang w:val="en-AU"/>
        </w:rPr>
        <w:t xml:space="preserve">An SRS port transmitted over multiple OFDM symbols, within a slot, should keep a constant power over these symbols.  </w:t>
      </w:r>
    </w:p>
    <w:p w14:paraId="4CFF48E5" w14:textId="77777777"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non-codebook use of SRS: </w:t>
      </w:r>
    </w:p>
    <w:p w14:paraId="789C4AEF" w14:textId="77777777" w:rsidR="00370574" w:rsidRPr="00442D24" w:rsidRDefault="00370574" w:rsidP="00370574">
      <w:pPr>
        <w:pStyle w:val="ListParagraph"/>
        <w:numPr>
          <w:ilvl w:val="1"/>
          <w:numId w:val="14"/>
        </w:numPr>
        <w:rPr>
          <w:rFonts w:asciiTheme="minorHAnsi" w:hAnsiTheme="minorHAnsi" w:cs="Times New Roman"/>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1C836636">
          <v:shape id="_x0000_i1038" type="#_x0000_t75" style="width:65.1pt;height:21.9pt" o:ole="">
            <v:imagedata r:id="rId10" o:title=""/>
          </v:shape>
          <o:OLEObject Type="Embed" ProgID="Equation.3" ShapeID="_x0000_i1038" DrawAspect="Content" ObjectID="_1602706026" r:id="rId12"/>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r w:rsidRPr="00442D24">
        <w:rPr>
          <w:rFonts w:asciiTheme="minorHAnsi" w:hAnsiTheme="minorHAnsi"/>
          <w:i/>
          <w:lang w:val="en-AU"/>
        </w:rPr>
        <w:t>i</w:t>
      </w:r>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p>
    <w:p w14:paraId="1EF3B98C" w14:textId="77777777"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beam management use of SRS: </w:t>
      </w:r>
    </w:p>
    <w:p w14:paraId="0721FA1E" w14:textId="77777777" w:rsidR="00370574" w:rsidRPr="00442D24" w:rsidRDefault="00370574" w:rsidP="00370574">
      <w:pPr>
        <w:pStyle w:val="ListParagraph"/>
        <w:numPr>
          <w:ilvl w:val="1"/>
          <w:numId w:val="14"/>
        </w:numPr>
        <w:rPr>
          <w:rFonts w:asciiTheme="minorHAnsi" w:hAnsiTheme="minorHAnsi" w:cs="Times New Roman"/>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77F4E83A">
          <v:shape id="_x0000_i1039" type="#_x0000_t75" style="width:65.1pt;height:21.9pt" o:ole="">
            <v:imagedata r:id="rId10" o:title=""/>
          </v:shape>
          <o:OLEObject Type="Embed" ProgID="Equation.3" ShapeID="_x0000_i1039" DrawAspect="Content" ObjectID="_1602706027" r:id="rId13"/>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r w:rsidRPr="00442D24">
        <w:rPr>
          <w:rFonts w:asciiTheme="minorHAnsi" w:hAnsiTheme="minorHAnsi"/>
          <w:i/>
          <w:lang w:val="en-AU"/>
        </w:rPr>
        <w:t>i</w:t>
      </w:r>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p>
    <w:p w14:paraId="3D850499" w14:textId="77777777"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DL CSI acquisition use of SRS: </w:t>
      </w:r>
    </w:p>
    <w:p w14:paraId="330E4829" w14:textId="77777777" w:rsidR="00370574" w:rsidRPr="00442D24" w:rsidRDefault="00370574" w:rsidP="00370574">
      <w:pPr>
        <w:pStyle w:val="ListParagraph"/>
        <w:numPr>
          <w:ilvl w:val="1"/>
          <w:numId w:val="14"/>
        </w:numPr>
        <w:rPr>
          <w:rFonts w:asciiTheme="minorHAnsi" w:hAnsiTheme="minorHAnsi"/>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097DE545">
          <v:shape id="_x0000_i1040" type="#_x0000_t75" style="width:65.1pt;height:21.9pt" o:ole="">
            <v:imagedata r:id="rId10" o:title=""/>
          </v:shape>
          <o:OLEObject Type="Embed" ProgID="Equation.3" ShapeID="_x0000_i1040" DrawAspect="Content" ObjectID="_1602706028" r:id="rId14"/>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r w:rsidRPr="00442D24">
        <w:rPr>
          <w:rFonts w:asciiTheme="minorHAnsi" w:hAnsiTheme="minorHAnsi"/>
          <w:i/>
          <w:lang w:val="en-AU"/>
        </w:rPr>
        <w:t>i</w:t>
      </w:r>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r w:rsidRPr="00442D24" w:rsidDel="00455E5F">
        <w:rPr>
          <w:rFonts w:asciiTheme="minorHAnsi" w:hAnsiTheme="minorHAnsi"/>
          <w:lang w:val="en-AU"/>
        </w:rPr>
        <w:t xml:space="preserve"> </w:t>
      </w:r>
    </w:p>
    <w:p w14:paraId="45F319EC" w14:textId="77777777" w:rsidR="00370574" w:rsidRDefault="00370574" w:rsidP="00370574">
      <w:pPr>
        <w:rPr>
          <w:lang w:val="en-AU"/>
        </w:rPr>
      </w:pPr>
      <w:r w:rsidRPr="00370574">
        <w:rPr>
          <w:lang w:val="en-AU"/>
        </w:rPr>
        <w:t xml:space="preserve">Based on the above we </w:t>
      </w:r>
      <w:r>
        <w:rPr>
          <w:lang w:val="en-AU"/>
        </w:rPr>
        <w:t xml:space="preserve">notice that </w:t>
      </w:r>
      <w:r w:rsidRPr="00370574">
        <w:rPr>
          <w:lang w:val="en-AU"/>
        </w:rPr>
        <w:t xml:space="preserve">for all </w:t>
      </w:r>
      <w:r w:rsidR="0018293F">
        <w:rPr>
          <w:lang w:val="en-AU"/>
        </w:rPr>
        <w:t>existing</w:t>
      </w:r>
      <w:r w:rsidRPr="00370574">
        <w:rPr>
          <w:lang w:val="en-AU"/>
        </w:rPr>
        <w:t xml:space="preserve"> use cases for SRS it </w:t>
      </w:r>
      <w:r w:rsidR="0018293F">
        <w:rPr>
          <w:lang w:val="en-AU"/>
        </w:rPr>
        <w:t xml:space="preserve">is </w:t>
      </w:r>
      <w:r w:rsidRPr="00370574">
        <w:rPr>
          <w:lang w:val="en-AU"/>
        </w:rPr>
        <w:t>observed that “</w:t>
      </w:r>
      <w:r w:rsidRPr="00370574">
        <w:rPr>
          <w:i/>
          <w:lang w:val="en-GB" w:eastAsia="zh-CN"/>
        </w:rPr>
        <w:t xml:space="preserve">A full power UE will be able to transmit up to </w:t>
      </w:r>
      <w:r w:rsidRPr="004F5A17">
        <w:rPr>
          <w:iCs/>
          <w:position w:val="-14"/>
        </w:rPr>
        <w:object w:dxaOrig="1340" w:dyaOrig="380" w14:anchorId="3DD146A2">
          <v:shape id="_x0000_i1041" type="#_x0000_t75" style="width:65.1pt;height:21.9pt" o:ole="">
            <v:imagedata r:id="rId10" o:title=""/>
          </v:shape>
          <o:OLEObject Type="Embed" ProgID="Equation.3" ShapeID="_x0000_i1041" DrawAspect="Content" ObjectID="_1602706029" r:id="rId15"/>
        </w:object>
      </w:r>
      <w:r w:rsidRPr="00370574">
        <w:rPr>
          <w:i/>
          <w:iCs/>
          <w:lang w:val="en-AU"/>
        </w:rPr>
        <w:t xml:space="preserve"> </w:t>
      </w:r>
      <w:r w:rsidRPr="00370574">
        <w:rPr>
          <w:i/>
          <w:lang w:val="en-AU"/>
        </w:rPr>
        <w:t xml:space="preserve">per OFDM symbol in transmission period i from the transmitted SRS resource set </w:t>
      </w:r>
      <w:proofErr w:type="spellStart"/>
      <w:r w:rsidRPr="00370574">
        <w:rPr>
          <w:i/>
          <w:lang w:val="en-AU"/>
        </w:rPr>
        <w:t>q</w:t>
      </w:r>
      <w:r w:rsidRPr="00370574">
        <w:rPr>
          <w:i/>
          <w:vertAlign w:val="subscript"/>
          <w:lang w:val="en-AU"/>
        </w:rPr>
        <w:t>s</w:t>
      </w:r>
      <w:proofErr w:type="spellEnd"/>
      <w:r w:rsidRPr="00370574">
        <w:rPr>
          <w:lang w:val="en-AU"/>
        </w:rPr>
        <w:t>”. In addition to this it was noticed that in some cases the number of SRS ports and SRS resources transmitted per OFDM symbol for an SRS resource set may vary over the OFDM symbols corresponding to the SRS resource set. Therefore, to avoid that the power of the SRS ports varies within the SRS resource set we propose to transmit all SRS ports with the same power</w:t>
      </w:r>
      <w:r w:rsidR="00C8716B">
        <w:rPr>
          <w:lang w:val="en-AU"/>
        </w:rPr>
        <w:t>:</w:t>
      </w:r>
      <w:r w:rsidR="0018293F">
        <w:rPr>
          <w:lang w:val="en-AU"/>
        </w:rPr>
        <w:t xml:space="preserve"> </w:t>
      </w:r>
    </w:p>
    <w:p w14:paraId="1A364216" w14:textId="77777777" w:rsidR="0018293F" w:rsidRDefault="0018293F" w:rsidP="0018293F">
      <w:pPr>
        <w:spacing w:after="0"/>
        <w:rPr>
          <w:lang w:val="en-AU"/>
        </w:rPr>
      </w:pPr>
      <w:r w:rsidRPr="00501087">
        <w:rPr>
          <w:b/>
          <w:u w:val="single"/>
          <w:lang w:val="en-AU"/>
        </w:rPr>
        <w:t>Proposal</w:t>
      </w:r>
      <w:r>
        <w:rPr>
          <w:lang w:val="en-AU"/>
        </w:rPr>
        <w:t xml:space="preserve">: </w:t>
      </w:r>
    </w:p>
    <w:p w14:paraId="2E92072E" w14:textId="77777777" w:rsidR="0018293F" w:rsidRPr="0018293F" w:rsidRDefault="00F9772D" w:rsidP="00370574">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18293F"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18293F" w:rsidRPr="00501087">
        <w:rPr>
          <w:rFonts w:eastAsiaTheme="minorEastAsia"/>
          <w:lang w:val="en-AU"/>
        </w:rPr>
        <w:t>,</w:t>
      </w:r>
      <w:r w:rsidR="0018293F" w:rsidRPr="00501087">
        <w:rPr>
          <w:lang w:val="en-AU" w:eastAsia="zh-CN"/>
        </w:rPr>
        <w:t xml:space="preserve"> transmitted in transmission period </w:t>
      </w:r>
      <w:r w:rsidR="0018293F">
        <w:rPr>
          <w:i/>
          <w:lang w:val="en-AU" w:eastAsia="zh-CN"/>
        </w:rPr>
        <w:t>i</w:t>
      </w:r>
      <w:r w:rsidR="0018293F" w:rsidRPr="00501087">
        <w:rPr>
          <w:i/>
          <w:lang w:val="en-AU" w:eastAsia="zh-CN"/>
        </w:rPr>
        <w:t>,</w:t>
      </w:r>
      <w:r w:rsidR="0018293F" w:rsidRPr="00501087">
        <w:rPr>
          <w:lang w:val="en-AU" w:eastAsia="zh-CN"/>
        </w:rPr>
        <w:t xml:space="preserve"> </w:t>
      </w:r>
      <w:r w:rsidR="0018293F" w:rsidRPr="00501087">
        <w:rPr>
          <w:lang w:val="en-AU"/>
        </w:rPr>
        <w:t xml:space="preserve">are transmitted with the power </w:t>
      </w:r>
      <w:r w:rsidR="0018293F" w:rsidRPr="00501087">
        <w:rPr>
          <w:rFonts w:ascii="Symbol" w:hAnsi="Symbol"/>
          <w:i/>
          <w:lang w:val="en-AU"/>
        </w:rPr>
        <w:t></w:t>
      </w:r>
      <w:r w:rsidR="0018293F" w:rsidRPr="00501087">
        <w:rPr>
          <w:rFonts w:ascii="Symbol" w:hAnsi="Symbol"/>
          <w:i/>
          <w:lang w:val="en-AU"/>
        </w:rPr>
        <w:t></w:t>
      </w:r>
      <w:r w:rsidR="0018293F" w:rsidRPr="00501087">
        <w:rPr>
          <w:rFonts w:ascii="Symbol" w:hAnsi="Symbol"/>
          <w:i/>
          <w:lang w:val="en-AU"/>
        </w:rPr>
        <w:t></w:t>
      </w:r>
      <w:r w:rsidR="0018293F" w:rsidRPr="00501087">
        <w:rPr>
          <w:rFonts w:ascii="Symbol" w:hAnsi="Symbol"/>
          <w:i/>
          <w:lang w:val="en-AU"/>
        </w:rPr>
        <w:t></w:t>
      </w:r>
      <w:r w:rsidR="0018293F"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18293F" w:rsidRPr="00501087">
        <w:rPr>
          <w:rFonts w:ascii="Symbol" w:hAnsi="Symbol"/>
          <w:i/>
          <w:lang w:val="en-AU"/>
        </w:rPr>
        <w:t></w:t>
      </w:r>
      <w:r w:rsidR="0018293F" w:rsidRPr="00501087">
        <w:rPr>
          <w:lang w:val="en-AU"/>
        </w:rPr>
        <w:t xml:space="preserve"> </w:t>
      </w:r>
      <w:r w:rsidR="0018293F" w:rsidRPr="00B916EC">
        <w:rPr>
          <w:iCs/>
          <w:position w:val="-12"/>
        </w:rPr>
        <w:object w:dxaOrig="1219" w:dyaOrig="360" w14:anchorId="208F8208">
          <v:shape id="_x0000_i1042" type="#_x0000_t75" style="width:57.6pt;height:21.9pt" o:ole="">
            <v:imagedata r:id="rId16" o:title=""/>
          </v:shape>
          <o:OLEObject Type="Embed" ProgID="Equation.3" ShapeID="_x0000_i1042" DrawAspect="Content" ObjectID="_1602706030" r:id="rId17"/>
        </w:object>
      </w:r>
      <w:r w:rsidR="0018293F" w:rsidRPr="00501087">
        <w:rPr>
          <w:iCs/>
          <w:lang w:val="en-AU"/>
        </w:rPr>
        <w:t xml:space="preserve"> per antenna</w:t>
      </w:r>
      <w:r w:rsidR="0018293F">
        <w:rPr>
          <w:iCs/>
          <w:lang w:val="en-AU"/>
        </w:rPr>
        <w:t xml:space="preserve"> port.</w:t>
      </w:r>
      <w:r w:rsidR="0018293F" w:rsidRPr="00501087">
        <w:rPr>
          <w:iCs/>
          <w:lang w:val="en-AU"/>
        </w:rPr>
        <w:t xml:space="preserve"> </w:t>
      </w:r>
    </w:p>
    <w:p w14:paraId="332A4A9A" w14:textId="77777777" w:rsidR="0018293F" w:rsidRDefault="0018293F" w:rsidP="00370574">
      <w:pPr>
        <w:rPr>
          <w:lang w:val="en-AU"/>
        </w:rPr>
      </w:pPr>
      <w:r>
        <w:rPr>
          <w:lang w:val="en-AU"/>
        </w:rPr>
        <w:t xml:space="preserve">Furthermore, the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needs to depend on the most loaded OFDM symbol corresponding to the SRS resource set since the number of SRS ports transmitted per OFDM symbol is not necessarily constant. </w:t>
      </w:r>
      <w:r w:rsidR="00C8716B">
        <w:rPr>
          <w:lang w:val="en-AU"/>
        </w:rPr>
        <w:t>Therefore,</w:t>
      </w:r>
      <w:r>
        <w:rPr>
          <w:lang w:val="en-AU"/>
        </w:rPr>
        <w:t xml:space="preserve"> we propose </w:t>
      </w:r>
    </w:p>
    <w:p w14:paraId="787CB615" w14:textId="77777777" w:rsidR="0018293F" w:rsidRDefault="0018293F" w:rsidP="0018293F">
      <w:pPr>
        <w:spacing w:after="0"/>
        <w:rPr>
          <w:lang w:val="en-AU"/>
        </w:rPr>
      </w:pPr>
      <w:r w:rsidRPr="00501087">
        <w:rPr>
          <w:b/>
          <w:u w:val="single"/>
          <w:lang w:val="en-AU"/>
        </w:rPr>
        <w:t>Proposal</w:t>
      </w:r>
      <w:r>
        <w:rPr>
          <w:lang w:val="en-AU"/>
        </w:rPr>
        <w:t xml:space="preserve">: </w:t>
      </w:r>
    </w:p>
    <w:p w14:paraId="6362300C" w14:textId="77777777" w:rsidR="0018293F" w:rsidRPr="000848AF" w:rsidRDefault="0018293F" w:rsidP="0018293F">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48DA3644" w14:textId="77777777" w:rsidR="0018293F" w:rsidRDefault="0018293F" w:rsidP="0018293F">
      <w:pPr>
        <w:rPr>
          <w:lang w:val="en-AU"/>
        </w:rPr>
      </w:pPr>
      <w:r>
        <w:rPr>
          <w:lang w:val="en-AU"/>
        </w:rPr>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and this scaling factor is based on the heaviest loaded OFDM symbol corresponding the SRS resource set. </w:t>
      </w:r>
    </w:p>
    <w:p w14:paraId="7660BCD8" w14:textId="77777777" w:rsidR="00DA0ACC" w:rsidRDefault="00DA0ACC" w:rsidP="00DA0ACC">
      <w:pPr>
        <w:rPr>
          <w:lang w:val="en-AU"/>
        </w:rPr>
      </w:pPr>
      <w:r>
        <w:rPr>
          <w:lang w:val="en-AU"/>
        </w:rPr>
        <w:t xml:space="preserve">We furthermore also provide a text proposal for capturing these proposals. </w:t>
      </w:r>
    </w:p>
    <w:p w14:paraId="7839AB1E" w14:textId="77777777" w:rsidR="0097315B" w:rsidRDefault="0097315B" w:rsidP="0097315B">
      <w:pPr>
        <w:pStyle w:val="Heading1"/>
      </w:pPr>
      <w:r>
        <w:lastRenderedPageBreak/>
        <w:t>Conclusions</w:t>
      </w:r>
    </w:p>
    <w:p w14:paraId="57669974" w14:textId="77777777" w:rsidR="00A176EF" w:rsidRPr="00812783" w:rsidRDefault="00812783" w:rsidP="00812783">
      <w:pPr>
        <w:rPr>
          <w:lang w:val="en-AU"/>
        </w:rPr>
      </w:pPr>
      <w:r>
        <w:rPr>
          <w:lang w:val="en-AU"/>
        </w:rPr>
        <w:t xml:space="preserve">In this contribution we propose the following: </w:t>
      </w:r>
    </w:p>
    <w:p w14:paraId="1619E537" w14:textId="77777777" w:rsidR="00C8716B" w:rsidRPr="00DD2C29" w:rsidRDefault="00C8716B" w:rsidP="00C8716B">
      <w:pPr>
        <w:rPr>
          <w:b/>
          <w:u w:val="single"/>
          <w:lang w:val="en-GB" w:eastAsia="zh-CN"/>
        </w:rPr>
      </w:pPr>
      <w:r w:rsidRPr="00DD2C29">
        <w:rPr>
          <w:b/>
          <w:u w:val="single"/>
          <w:lang w:val="en-GB" w:eastAsia="zh-CN"/>
        </w:rPr>
        <w:t>Proposal</w:t>
      </w:r>
      <w:r>
        <w:rPr>
          <w:b/>
          <w:u w:val="single"/>
          <w:lang w:val="en-GB" w:eastAsia="zh-CN"/>
        </w:rPr>
        <w:t>:</w:t>
      </w:r>
    </w:p>
    <w:p w14:paraId="7A7B1BEF" w14:textId="77777777" w:rsidR="00C8716B" w:rsidRDefault="00C8716B" w:rsidP="00C8716B">
      <w:pPr>
        <w:pStyle w:val="ListParagraph"/>
        <w:numPr>
          <w:ilvl w:val="0"/>
          <w:numId w:val="38"/>
        </w:numPr>
        <w:rPr>
          <w:lang w:val="en-AU"/>
        </w:rPr>
      </w:pPr>
      <w:r>
        <w:rPr>
          <w:lang w:val="en-AU"/>
        </w:rPr>
        <w:t>Introduce a UE capability allowing a rel-16 UE to signal full power UL transmission capability</w:t>
      </w:r>
    </w:p>
    <w:p w14:paraId="5FEB9F6D" w14:textId="77777777" w:rsidR="00C8716B" w:rsidRPr="00A11D0B" w:rsidRDefault="00C8716B" w:rsidP="00C8716B">
      <w:pPr>
        <w:pStyle w:val="ListParagraph"/>
        <w:numPr>
          <w:ilvl w:val="0"/>
          <w:numId w:val="38"/>
        </w:numPr>
        <w:rPr>
          <w:lang w:val="en-AU"/>
        </w:rPr>
      </w:pPr>
      <w:bookmarkStart w:id="3" w:name="_Hlk525856151"/>
      <w:r>
        <w:rPr>
          <w:lang w:val="en-AU"/>
        </w:rPr>
        <w:t xml:space="preserve">For UEs with full power transmission capability </w:t>
      </w:r>
      <w:bookmarkEnd w:id="3"/>
      <w:r w:rsidRPr="00A11D0B">
        <w:rPr>
          <w:lang w:val="en-AU"/>
        </w:rPr>
        <w:t xml:space="preserve">UL power control for PUSCH should be modified such that UEs can transmit with a total power </w:t>
      </w:r>
      <w:r>
        <w:rPr>
          <w:iCs/>
          <w:position w:val="-12"/>
          <w:lang w:eastAsia="en-US"/>
        </w:rPr>
        <w:object w:dxaOrig="1590" w:dyaOrig="330" w14:anchorId="3C7C23D4">
          <v:shape id="_x0000_i1043" type="#_x0000_t75" style="width:78.9pt;height:14.4pt" o:ole="">
            <v:imagedata r:id="rId8" o:title=""/>
          </v:shape>
          <o:OLEObject Type="Embed" ProgID="Equation.3" ShapeID="_x0000_i1043" DrawAspect="Content" ObjectID="_1602706031" r:id="rId18"/>
        </w:object>
      </w:r>
      <w:r w:rsidRPr="00A11D0B">
        <w:rPr>
          <w:iCs/>
          <w:lang w:val="en-AU" w:eastAsia="en-US"/>
        </w:rPr>
        <w:t xml:space="preserve"> independent on rank, allowing the UE to transmit at its maximum rated power. </w:t>
      </w:r>
    </w:p>
    <w:p w14:paraId="6D4FFF52" w14:textId="77777777" w:rsidR="00C8716B" w:rsidRDefault="00C8716B" w:rsidP="00C8716B">
      <w:pPr>
        <w:pStyle w:val="ListParagraph"/>
        <w:numPr>
          <w:ilvl w:val="1"/>
          <w:numId w:val="38"/>
        </w:numPr>
        <w:rPr>
          <w:lang w:val="en-AU"/>
        </w:rPr>
      </w:pPr>
      <w:r>
        <w:rPr>
          <w:lang w:val="en-AU"/>
        </w:rPr>
        <w:t>This is done for both non-codebook and codebook-based transmission</w:t>
      </w:r>
    </w:p>
    <w:p w14:paraId="3102EE1E" w14:textId="77777777" w:rsidR="00EB4A0D" w:rsidRPr="004077DE" w:rsidRDefault="00EB4A0D">
      <w:pPr>
        <w:pStyle w:val="ListParagraph"/>
        <w:numPr>
          <w:ilvl w:val="1"/>
          <w:numId w:val="38"/>
        </w:numPr>
        <w:rPr>
          <w:rFonts w:asciiTheme="minorHAnsi" w:hAnsiTheme="minorHAnsi"/>
          <w:lang w:val="en-AU"/>
        </w:rPr>
      </w:pPr>
      <w:r>
        <w:rPr>
          <w:rFonts w:asciiTheme="minorHAnsi" w:hAnsiTheme="minorHAnsi"/>
          <w:lang w:val="en-AU"/>
        </w:rPr>
        <w:t>UE implementations using either higher power PAs or virtualization are supported</w:t>
      </w:r>
    </w:p>
    <w:p w14:paraId="5875BC27" w14:textId="77777777" w:rsidR="00C8716B" w:rsidRPr="00C8716B" w:rsidRDefault="0040662B" w:rsidP="00C8716B">
      <w:pPr>
        <w:pStyle w:val="ListParagraph"/>
        <w:numPr>
          <w:ilvl w:val="0"/>
          <w:numId w:val="38"/>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C8716B"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8716B" w:rsidRPr="00501087">
        <w:rPr>
          <w:rFonts w:eastAsiaTheme="minorEastAsia"/>
          <w:lang w:val="en-AU"/>
        </w:rPr>
        <w:t>,</w:t>
      </w:r>
      <w:r w:rsidR="00C8716B" w:rsidRPr="00501087">
        <w:rPr>
          <w:lang w:val="en-AU" w:eastAsia="zh-CN"/>
        </w:rPr>
        <w:t xml:space="preserve"> transmitted in transmission period </w:t>
      </w:r>
      <w:r w:rsidR="00C8716B">
        <w:rPr>
          <w:i/>
          <w:lang w:val="en-AU" w:eastAsia="zh-CN"/>
        </w:rPr>
        <w:t>i</w:t>
      </w:r>
      <w:r w:rsidR="00C8716B" w:rsidRPr="00501087">
        <w:rPr>
          <w:i/>
          <w:lang w:val="en-AU" w:eastAsia="zh-CN"/>
        </w:rPr>
        <w:t>,</w:t>
      </w:r>
      <w:r w:rsidR="00C8716B" w:rsidRPr="00501087">
        <w:rPr>
          <w:lang w:val="en-AU" w:eastAsia="zh-CN"/>
        </w:rPr>
        <w:t xml:space="preserve"> </w:t>
      </w:r>
      <w:r w:rsidR="00C8716B" w:rsidRPr="00501087">
        <w:rPr>
          <w:lang w:val="en-AU"/>
        </w:rPr>
        <w:t xml:space="preserve">are transmitted with the power </w:t>
      </w:r>
      <w:r w:rsidR="00C8716B" w:rsidRPr="00501087">
        <w:rPr>
          <w:rFonts w:ascii="Symbol" w:hAnsi="Symbol"/>
          <w:i/>
          <w:lang w:val="en-AU"/>
        </w:rPr>
        <w:t></w:t>
      </w:r>
      <w:r w:rsidR="00C8716B" w:rsidRPr="00501087">
        <w:rPr>
          <w:rFonts w:ascii="Symbol" w:hAnsi="Symbol"/>
          <w:i/>
          <w:lang w:val="en-AU"/>
        </w:rPr>
        <w:t></w:t>
      </w:r>
      <w:r w:rsidR="00C8716B" w:rsidRPr="00501087">
        <w:rPr>
          <w:rFonts w:ascii="Symbol" w:hAnsi="Symbol"/>
          <w:i/>
          <w:lang w:val="en-AU"/>
        </w:rPr>
        <w:t></w:t>
      </w:r>
      <w:r w:rsidR="00C8716B" w:rsidRPr="00501087">
        <w:rPr>
          <w:rFonts w:ascii="Symbol" w:hAnsi="Symbol"/>
          <w:i/>
          <w:lang w:val="en-AU"/>
        </w:rPr>
        <w:t></w:t>
      </w:r>
      <w:r w:rsidR="00C8716B"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8716B" w:rsidRPr="00501087">
        <w:rPr>
          <w:rFonts w:ascii="Symbol" w:hAnsi="Symbol"/>
          <w:i/>
          <w:lang w:val="en-AU"/>
        </w:rPr>
        <w:t></w:t>
      </w:r>
      <w:r w:rsidR="00C8716B" w:rsidRPr="00501087">
        <w:rPr>
          <w:lang w:val="en-AU"/>
        </w:rPr>
        <w:t xml:space="preserve"> </w:t>
      </w:r>
      <w:r w:rsidR="00C8716B" w:rsidRPr="00B916EC">
        <w:rPr>
          <w:iCs/>
          <w:position w:val="-12"/>
        </w:rPr>
        <w:object w:dxaOrig="1219" w:dyaOrig="360" w14:anchorId="01775B54">
          <v:shape id="_x0000_i1044" type="#_x0000_t75" style="width:57.6pt;height:21.9pt" o:ole="">
            <v:imagedata r:id="rId16" o:title=""/>
          </v:shape>
          <o:OLEObject Type="Embed" ProgID="Equation.3" ShapeID="_x0000_i1044" DrawAspect="Content" ObjectID="_1602706032" r:id="rId19"/>
        </w:object>
      </w:r>
      <w:r w:rsidR="00C8716B" w:rsidRPr="00501087">
        <w:rPr>
          <w:iCs/>
          <w:lang w:val="en-AU"/>
        </w:rPr>
        <w:t xml:space="preserve"> per antenna</w:t>
      </w:r>
      <w:r w:rsidR="00C8716B">
        <w:rPr>
          <w:iCs/>
          <w:lang w:val="en-AU"/>
        </w:rPr>
        <w:t xml:space="preserve"> port.</w:t>
      </w:r>
      <w:r w:rsidR="00C8716B" w:rsidRPr="00501087">
        <w:rPr>
          <w:iCs/>
          <w:lang w:val="en-AU"/>
        </w:rPr>
        <w:t xml:space="preserve"> </w:t>
      </w:r>
    </w:p>
    <w:p w14:paraId="37C01A68" w14:textId="77777777" w:rsidR="00016C35" w:rsidRPr="00812783" w:rsidRDefault="00C8716B" w:rsidP="0040662B">
      <w:pPr>
        <w:pStyle w:val="ListParagraph"/>
        <w:numPr>
          <w:ilvl w:val="1"/>
          <w:numId w:val="38"/>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5FC1D362" w14:textId="77777777" w:rsidR="00483478" w:rsidRPr="00D0625A" w:rsidRDefault="00483478" w:rsidP="00483478">
      <w:pPr>
        <w:pStyle w:val="Heading1"/>
      </w:pPr>
      <w:r w:rsidRPr="00D0625A">
        <w:t>References</w:t>
      </w:r>
    </w:p>
    <w:p w14:paraId="29D73B02" w14:textId="77777777" w:rsidR="00442D24" w:rsidRDefault="00442D24" w:rsidP="00442D24">
      <w:pPr>
        <w:spacing w:after="0"/>
        <w:rPr>
          <w:lang w:val="en-AU"/>
        </w:rPr>
      </w:pPr>
      <w:r>
        <w:rPr>
          <w:lang w:val="en-AU"/>
        </w:rPr>
        <w:t>[1]</w:t>
      </w:r>
      <w:r>
        <w:rPr>
          <w:lang w:val="en-AU"/>
        </w:rPr>
        <w:tab/>
        <w:t xml:space="preserve">RP-181453, “WI Proposal on NR MIMO Enhancements”, Samsung, 3GPP TSG RAN Meeting #80 </w:t>
      </w:r>
    </w:p>
    <w:p w14:paraId="40FF7E7D" w14:textId="3931C80E" w:rsidR="00442D24" w:rsidRPr="00D0625A" w:rsidRDefault="00D0625A" w:rsidP="00D0625A">
      <w:pPr>
        <w:rPr>
          <w:lang w:val="en-AU" w:eastAsia="zh-CN"/>
        </w:rPr>
      </w:pPr>
      <w:r w:rsidRPr="00D0625A">
        <w:rPr>
          <w:lang w:val="en-AU" w:eastAsia="zh-CN"/>
        </w:rPr>
        <w:t>[2]</w:t>
      </w:r>
      <w:r w:rsidRPr="00D0625A">
        <w:rPr>
          <w:lang w:val="en-AU" w:eastAsia="zh-CN"/>
        </w:rPr>
        <w:tab/>
      </w:r>
      <w:r w:rsidR="0082470F" w:rsidRPr="0082470F">
        <w:rPr>
          <w:lang w:val="en-AU" w:eastAsia="zh-CN"/>
        </w:rPr>
        <w:t>R1-1813603</w:t>
      </w:r>
      <w:r w:rsidRPr="00D0625A">
        <w:rPr>
          <w:lang w:val="en-AU" w:eastAsia="zh-CN"/>
        </w:rPr>
        <w:t>, “</w:t>
      </w:r>
      <w:r>
        <w:rPr>
          <w:lang w:val="en-AU"/>
        </w:rPr>
        <w:t>Enabling full TX power UL transmission for PUSCH</w:t>
      </w:r>
      <w:r w:rsidRPr="00D0625A">
        <w:rPr>
          <w:lang w:val="en-AU" w:eastAsia="zh-CN"/>
        </w:rPr>
        <w:t xml:space="preserve">”, </w:t>
      </w:r>
      <w:r w:rsidR="00912D73">
        <w:rPr>
          <w:lang w:val="en-AU" w:eastAsia="zh-CN"/>
        </w:rPr>
        <w:t xml:space="preserve">Ericsson, </w:t>
      </w:r>
      <w:r w:rsidR="0082470F" w:rsidRPr="0082470F">
        <w:rPr>
          <w:lang w:val="en-AU" w:eastAsia="zh-CN"/>
        </w:rPr>
        <w:t>3GPP TSG-RAN WG1 Meeting #95</w:t>
      </w:r>
      <w:r w:rsidR="0082470F">
        <w:rPr>
          <w:lang w:val="en-AU" w:eastAsia="zh-CN"/>
        </w:rPr>
        <w:t>, S</w:t>
      </w:r>
      <w:r w:rsidR="0082470F" w:rsidRPr="0082470F">
        <w:rPr>
          <w:lang w:val="en-AU" w:eastAsia="zh-CN"/>
        </w:rPr>
        <w:t>pokane, USA, November 12th – 16th, 2018</w:t>
      </w:r>
    </w:p>
    <w:p w14:paraId="2A6017D4" w14:textId="5041C5C1" w:rsidR="00483478" w:rsidRPr="00D40266" w:rsidRDefault="00D0625A">
      <w:pPr>
        <w:rPr>
          <w:lang w:val="en-AU" w:eastAsia="zh-CN"/>
        </w:rPr>
      </w:pPr>
      <w:r w:rsidRPr="00D0625A">
        <w:rPr>
          <w:lang w:val="en-AU" w:eastAsia="zh-CN"/>
        </w:rPr>
        <w:t>[</w:t>
      </w:r>
      <w:r>
        <w:rPr>
          <w:lang w:val="en-AU" w:eastAsia="zh-CN"/>
        </w:rPr>
        <w:t>3</w:t>
      </w:r>
      <w:r w:rsidRPr="00D0625A">
        <w:rPr>
          <w:lang w:val="en-AU" w:eastAsia="zh-CN"/>
        </w:rPr>
        <w:t>]</w:t>
      </w:r>
      <w:r w:rsidRPr="00D0625A">
        <w:rPr>
          <w:lang w:val="en-AU" w:eastAsia="zh-CN"/>
        </w:rPr>
        <w:tab/>
      </w:r>
      <w:r w:rsidR="0082470F" w:rsidRPr="0082470F">
        <w:rPr>
          <w:lang w:val="en-AU" w:eastAsia="zh-CN"/>
        </w:rPr>
        <w:t>R1-1813604</w:t>
      </w:r>
      <w:r w:rsidRPr="00D0625A">
        <w:rPr>
          <w:lang w:val="en-AU" w:eastAsia="zh-CN"/>
        </w:rPr>
        <w:t>, “</w:t>
      </w:r>
      <w:r>
        <w:rPr>
          <w:lang w:val="en-AU"/>
        </w:rPr>
        <w:t>Enabling full TX power UL transmission for SRS</w:t>
      </w:r>
      <w:r w:rsidRPr="00D0625A">
        <w:rPr>
          <w:lang w:val="en-AU" w:eastAsia="zh-CN"/>
        </w:rPr>
        <w:t xml:space="preserve">”, </w:t>
      </w:r>
      <w:bookmarkStart w:id="4" w:name="_Hlk525901900"/>
      <w:r w:rsidR="00912D73">
        <w:rPr>
          <w:lang w:val="en-AU" w:eastAsia="zh-CN"/>
        </w:rPr>
        <w:t xml:space="preserve">Ericsson, </w:t>
      </w:r>
      <w:r w:rsidR="0082470F" w:rsidRPr="0082470F">
        <w:rPr>
          <w:lang w:val="en-AU" w:eastAsia="zh-CN"/>
        </w:rPr>
        <w:t>3GPP TSG-RAN WG1 Meeting #95</w:t>
      </w:r>
      <w:r w:rsidR="0082470F">
        <w:rPr>
          <w:lang w:val="en-AU" w:eastAsia="zh-CN"/>
        </w:rPr>
        <w:t>, S</w:t>
      </w:r>
      <w:r w:rsidR="0082470F" w:rsidRPr="0082470F">
        <w:rPr>
          <w:lang w:val="en-AU" w:eastAsia="zh-CN"/>
        </w:rPr>
        <w:t>pokane, USA, November 12th – 16th, 2018</w:t>
      </w:r>
      <w:bookmarkEnd w:id="4"/>
    </w:p>
    <w:sectPr w:rsidR="00483478" w:rsidRPr="00D40266"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BF81B" w14:textId="77777777" w:rsidR="00DB7CCA" w:rsidRDefault="00DB7CCA">
      <w:r>
        <w:separator/>
      </w:r>
    </w:p>
  </w:endnote>
  <w:endnote w:type="continuationSeparator" w:id="0">
    <w:p w14:paraId="01990B05" w14:textId="77777777" w:rsidR="00DB7CCA" w:rsidRDefault="00DB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08F" w14:textId="77777777" w:rsidR="00C6167D" w:rsidRDefault="00C616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D568" w14:textId="77777777" w:rsidR="00DB7CCA" w:rsidRDefault="00DB7CCA">
      <w:r>
        <w:separator/>
      </w:r>
    </w:p>
  </w:footnote>
  <w:footnote w:type="continuationSeparator" w:id="0">
    <w:p w14:paraId="2BF93EBF" w14:textId="77777777" w:rsidR="00DB7CCA" w:rsidRDefault="00DB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87519" w14:textId="77777777" w:rsidR="00C6167D" w:rsidRDefault="00C616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885B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64F5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F635FE"/>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8C80585"/>
    <w:multiLevelType w:val="hybridMultilevel"/>
    <w:tmpl w:val="27903B06"/>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8"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10" w15:restartNumberingAfterBreak="0">
    <w:nsid w:val="1F251777"/>
    <w:multiLevelType w:val="multilevel"/>
    <w:tmpl w:val="DE702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9"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54C93"/>
    <w:multiLevelType w:val="hybridMultilevel"/>
    <w:tmpl w:val="C7E4F3E2"/>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5" w15:restartNumberingAfterBreak="0">
    <w:nsid w:val="59C1157D"/>
    <w:multiLevelType w:val="hybridMultilevel"/>
    <w:tmpl w:val="08A01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E95374"/>
    <w:multiLevelType w:val="hybridMultilevel"/>
    <w:tmpl w:val="ADDEC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9"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41"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3"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4"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3"/>
  </w:num>
  <w:num w:numId="5">
    <w:abstractNumId w:val="13"/>
  </w:num>
  <w:num w:numId="6">
    <w:abstractNumId w:val="26"/>
  </w:num>
  <w:num w:numId="7">
    <w:abstractNumId w:val="33"/>
  </w:num>
  <w:num w:numId="8">
    <w:abstractNumId w:val="14"/>
  </w:num>
  <w:num w:numId="9">
    <w:abstractNumId w:val="31"/>
  </w:num>
  <w:num w:numId="10">
    <w:abstractNumId w:val="20"/>
  </w:num>
  <w:num w:numId="11">
    <w:abstractNumId w:val="37"/>
  </w:num>
  <w:num w:numId="12">
    <w:abstractNumId w:val="28"/>
  </w:num>
  <w:num w:numId="13">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4"/>
  </w:num>
  <w:num w:numId="15">
    <w:abstractNumId w:val="43"/>
  </w:num>
  <w:num w:numId="16">
    <w:abstractNumId w:val="42"/>
  </w:num>
  <w:num w:numId="17">
    <w:abstractNumId w:val="7"/>
  </w:num>
  <w:num w:numId="18">
    <w:abstractNumId w:val="9"/>
  </w:num>
  <w:num w:numId="19">
    <w:abstractNumId w:val="12"/>
  </w:num>
  <w:num w:numId="20">
    <w:abstractNumId w:val="22"/>
  </w:num>
  <w:num w:numId="21">
    <w:abstractNumId w:val="6"/>
  </w:num>
  <w:num w:numId="22">
    <w:abstractNumId w:val="40"/>
  </w:num>
  <w:num w:numId="23">
    <w:abstractNumId w:val="18"/>
  </w:num>
  <w:num w:numId="24">
    <w:abstractNumId w:val="44"/>
  </w:num>
  <w:num w:numId="25">
    <w:abstractNumId w:val="19"/>
  </w:num>
  <w:num w:numId="26">
    <w:abstractNumId w:val="15"/>
  </w:num>
  <w:num w:numId="27">
    <w:abstractNumId w:val="16"/>
  </w:num>
  <w:num w:numId="28">
    <w:abstractNumId w:val="5"/>
  </w:num>
  <w:num w:numId="29">
    <w:abstractNumId w:val="17"/>
  </w:num>
  <w:num w:numId="30">
    <w:abstractNumId w:val="24"/>
  </w:num>
  <w:num w:numId="31">
    <w:abstractNumId w:val="25"/>
  </w:num>
  <w:num w:numId="32">
    <w:abstractNumId w:val="30"/>
  </w:num>
  <w:num w:numId="33">
    <w:abstractNumId w:val="8"/>
  </w:num>
  <w:num w:numId="34">
    <w:abstractNumId w:val="41"/>
  </w:num>
  <w:num w:numId="35">
    <w:abstractNumId w:val="32"/>
  </w:num>
  <w:num w:numId="36">
    <w:abstractNumId w:val="10"/>
  </w:num>
  <w:num w:numId="37">
    <w:abstractNumId w:val="38"/>
  </w:num>
  <w:num w:numId="38">
    <w:abstractNumId w:val="27"/>
  </w:num>
  <w:num w:numId="39">
    <w:abstractNumId w:val="11"/>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
  </w:num>
  <w:num w:numId="43">
    <w:abstractNumId w:val="0"/>
  </w:num>
  <w:num w:numId="44">
    <w:abstractNumId w:val="36"/>
  </w:num>
  <w:num w:numId="45">
    <w:abstractNumId w:val="35"/>
  </w:num>
  <w:num w:numId="46">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3C0"/>
    <w:rsid w:val="00002A37"/>
    <w:rsid w:val="00002D22"/>
    <w:rsid w:val="00003F5E"/>
    <w:rsid w:val="00006446"/>
    <w:rsid w:val="00006512"/>
    <w:rsid w:val="00006896"/>
    <w:rsid w:val="00007871"/>
    <w:rsid w:val="00007B66"/>
    <w:rsid w:val="00007CDC"/>
    <w:rsid w:val="0001063F"/>
    <w:rsid w:val="0001129E"/>
    <w:rsid w:val="00011B28"/>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564D"/>
    <w:rsid w:val="00025730"/>
    <w:rsid w:val="00025ECA"/>
    <w:rsid w:val="00030B30"/>
    <w:rsid w:val="000318A1"/>
    <w:rsid w:val="000325B8"/>
    <w:rsid w:val="000331F7"/>
    <w:rsid w:val="00034C15"/>
    <w:rsid w:val="00035802"/>
    <w:rsid w:val="000359FF"/>
    <w:rsid w:val="00036BA1"/>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677D1"/>
    <w:rsid w:val="0007089E"/>
    <w:rsid w:val="00072530"/>
    <w:rsid w:val="000741A9"/>
    <w:rsid w:val="00075220"/>
    <w:rsid w:val="00075949"/>
    <w:rsid w:val="00077E5F"/>
    <w:rsid w:val="0008036A"/>
    <w:rsid w:val="00081AE6"/>
    <w:rsid w:val="00082FFB"/>
    <w:rsid w:val="00083AB7"/>
    <w:rsid w:val="000855EB"/>
    <w:rsid w:val="00085B52"/>
    <w:rsid w:val="000860BE"/>
    <w:rsid w:val="000865C5"/>
    <w:rsid w:val="000866F2"/>
    <w:rsid w:val="00086960"/>
    <w:rsid w:val="000869A7"/>
    <w:rsid w:val="00086DDC"/>
    <w:rsid w:val="0008706B"/>
    <w:rsid w:val="0009009F"/>
    <w:rsid w:val="000900BA"/>
    <w:rsid w:val="0009106C"/>
    <w:rsid w:val="000910B4"/>
    <w:rsid w:val="00091557"/>
    <w:rsid w:val="000924C1"/>
    <w:rsid w:val="000924F0"/>
    <w:rsid w:val="00093316"/>
    <w:rsid w:val="00093474"/>
    <w:rsid w:val="00094AB7"/>
    <w:rsid w:val="0009510F"/>
    <w:rsid w:val="000A055C"/>
    <w:rsid w:val="000A157C"/>
    <w:rsid w:val="000A1645"/>
    <w:rsid w:val="000A1B7B"/>
    <w:rsid w:val="000A2B85"/>
    <w:rsid w:val="000A56F2"/>
    <w:rsid w:val="000A5B97"/>
    <w:rsid w:val="000A693D"/>
    <w:rsid w:val="000B2139"/>
    <w:rsid w:val="000B2517"/>
    <w:rsid w:val="000B2719"/>
    <w:rsid w:val="000B3A8F"/>
    <w:rsid w:val="000B4AB9"/>
    <w:rsid w:val="000B58C3"/>
    <w:rsid w:val="000B61E9"/>
    <w:rsid w:val="000B6D5F"/>
    <w:rsid w:val="000B7F03"/>
    <w:rsid w:val="000C165A"/>
    <w:rsid w:val="000C1AEB"/>
    <w:rsid w:val="000C1D6C"/>
    <w:rsid w:val="000C25AD"/>
    <w:rsid w:val="000C2E19"/>
    <w:rsid w:val="000C4C24"/>
    <w:rsid w:val="000C65A7"/>
    <w:rsid w:val="000D0D07"/>
    <w:rsid w:val="000D1880"/>
    <w:rsid w:val="000D1E6E"/>
    <w:rsid w:val="000D205C"/>
    <w:rsid w:val="000D4797"/>
    <w:rsid w:val="000E0527"/>
    <w:rsid w:val="000E09C4"/>
    <w:rsid w:val="000E1E92"/>
    <w:rsid w:val="000E2B56"/>
    <w:rsid w:val="000E77B8"/>
    <w:rsid w:val="000F06D6"/>
    <w:rsid w:val="000F0EB1"/>
    <w:rsid w:val="000F1106"/>
    <w:rsid w:val="000F1754"/>
    <w:rsid w:val="000F3BE9"/>
    <w:rsid w:val="000F3F6C"/>
    <w:rsid w:val="000F47C6"/>
    <w:rsid w:val="000F5322"/>
    <w:rsid w:val="000F600C"/>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48D9"/>
    <w:rsid w:val="00126B27"/>
    <w:rsid w:val="00126B4A"/>
    <w:rsid w:val="00126D57"/>
    <w:rsid w:val="00127A16"/>
    <w:rsid w:val="00130FE5"/>
    <w:rsid w:val="001314B0"/>
    <w:rsid w:val="00132FD0"/>
    <w:rsid w:val="001343DB"/>
    <w:rsid w:val="001344C0"/>
    <w:rsid w:val="001346FA"/>
    <w:rsid w:val="00134E0C"/>
    <w:rsid w:val="00135252"/>
    <w:rsid w:val="00135786"/>
    <w:rsid w:val="00135874"/>
    <w:rsid w:val="00137AB5"/>
    <w:rsid w:val="00137F0B"/>
    <w:rsid w:val="00140153"/>
    <w:rsid w:val="001425D4"/>
    <w:rsid w:val="00142E84"/>
    <w:rsid w:val="00143C65"/>
    <w:rsid w:val="00145654"/>
    <w:rsid w:val="001467A3"/>
    <w:rsid w:val="001467CE"/>
    <w:rsid w:val="001513B4"/>
    <w:rsid w:val="00151E23"/>
    <w:rsid w:val="001526E0"/>
    <w:rsid w:val="0015373E"/>
    <w:rsid w:val="001543B2"/>
    <w:rsid w:val="00154707"/>
    <w:rsid w:val="001551B5"/>
    <w:rsid w:val="00157148"/>
    <w:rsid w:val="00160528"/>
    <w:rsid w:val="00160AFF"/>
    <w:rsid w:val="00160D2A"/>
    <w:rsid w:val="00162F87"/>
    <w:rsid w:val="0016353B"/>
    <w:rsid w:val="001635DB"/>
    <w:rsid w:val="0016377F"/>
    <w:rsid w:val="001659C1"/>
    <w:rsid w:val="0017041B"/>
    <w:rsid w:val="00171D16"/>
    <w:rsid w:val="00173A8E"/>
    <w:rsid w:val="001742B8"/>
    <w:rsid w:val="00175F81"/>
    <w:rsid w:val="001770B8"/>
    <w:rsid w:val="00177B76"/>
    <w:rsid w:val="0018070D"/>
    <w:rsid w:val="0018071B"/>
    <w:rsid w:val="0018143F"/>
    <w:rsid w:val="00181DA5"/>
    <w:rsid w:val="0018293F"/>
    <w:rsid w:val="00183F76"/>
    <w:rsid w:val="00184B0A"/>
    <w:rsid w:val="00185336"/>
    <w:rsid w:val="00185587"/>
    <w:rsid w:val="00185A69"/>
    <w:rsid w:val="00187A15"/>
    <w:rsid w:val="00190AC1"/>
    <w:rsid w:val="0019341A"/>
    <w:rsid w:val="00197DF9"/>
    <w:rsid w:val="001A092A"/>
    <w:rsid w:val="001A1987"/>
    <w:rsid w:val="001A2564"/>
    <w:rsid w:val="001A2C3D"/>
    <w:rsid w:val="001A43E7"/>
    <w:rsid w:val="001A5E55"/>
    <w:rsid w:val="001A6173"/>
    <w:rsid w:val="001A6C52"/>
    <w:rsid w:val="001A6CBA"/>
    <w:rsid w:val="001A7CC7"/>
    <w:rsid w:val="001B03F3"/>
    <w:rsid w:val="001B040D"/>
    <w:rsid w:val="001B0D97"/>
    <w:rsid w:val="001B5A5D"/>
    <w:rsid w:val="001B6BF8"/>
    <w:rsid w:val="001B7655"/>
    <w:rsid w:val="001B7852"/>
    <w:rsid w:val="001C1CE5"/>
    <w:rsid w:val="001C3D2A"/>
    <w:rsid w:val="001C3FC0"/>
    <w:rsid w:val="001C4BB2"/>
    <w:rsid w:val="001C6D57"/>
    <w:rsid w:val="001C7BED"/>
    <w:rsid w:val="001C7C37"/>
    <w:rsid w:val="001D1EF2"/>
    <w:rsid w:val="001D291A"/>
    <w:rsid w:val="001D4B47"/>
    <w:rsid w:val="001D4C4C"/>
    <w:rsid w:val="001D51BA"/>
    <w:rsid w:val="001D56AE"/>
    <w:rsid w:val="001D6342"/>
    <w:rsid w:val="001D6D53"/>
    <w:rsid w:val="001E0DEF"/>
    <w:rsid w:val="001E2560"/>
    <w:rsid w:val="001E2682"/>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B90"/>
    <w:rsid w:val="002116C8"/>
    <w:rsid w:val="00214DA8"/>
    <w:rsid w:val="00215423"/>
    <w:rsid w:val="002158FA"/>
    <w:rsid w:val="0021627C"/>
    <w:rsid w:val="0021642E"/>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3D2A"/>
    <w:rsid w:val="002451ED"/>
    <w:rsid w:val="002458EB"/>
    <w:rsid w:val="002465C9"/>
    <w:rsid w:val="00247E38"/>
    <w:rsid w:val="00250027"/>
    <w:rsid w:val="002500C8"/>
    <w:rsid w:val="00251916"/>
    <w:rsid w:val="00253319"/>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43FB"/>
    <w:rsid w:val="002771A0"/>
    <w:rsid w:val="00277CB7"/>
    <w:rsid w:val="00277D80"/>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6E8"/>
    <w:rsid w:val="002D5A9A"/>
    <w:rsid w:val="002D7637"/>
    <w:rsid w:val="002D79D0"/>
    <w:rsid w:val="002E0230"/>
    <w:rsid w:val="002E093B"/>
    <w:rsid w:val="002E17F2"/>
    <w:rsid w:val="002E2F9A"/>
    <w:rsid w:val="002E44F8"/>
    <w:rsid w:val="002E5B7A"/>
    <w:rsid w:val="002E6401"/>
    <w:rsid w:val="002E72A7"/>
    <w:rsid w:val="002E7BFE"/>
    <w:rsid w:val="002E7CAE"/>
    <w:rsid w:val="002F0C55"/>
    <w:rsid w:val="002F0E34"/>
    <w:rsid w:val="002F2771"/>
    <w:rsid w:val="002F2FE8"/>
    <w:rsid w:val="002F37A9"/>
    <w:rsid w:val="002F463B"/>
    <w:rsid w:val="002F6288"/>
    <w:rsid w:val="00301CE6"/>
    <w:rsid w:val="0030256B"/>
    <w:rsid w:val="00302B0C"/>
    <w:rsid w:val="003030C1"/>
    <w:rsid w:val="0030501F"/>
    <w:rsid w:val="00306DFE"/>
    <w:rsid w:val="00307BA1"/>
    <w:rsid w:val="003100B2"/>
    <w:rsid w:val="0031011E"/>
    <w:rsid w:val="003108CC"/>
    <w:rsid w:val="00310DE0"/>
    <w:rsid w:val="00311702"/>
    <w:rsid w:val="00311BEB"/>
    <w:rsid w:val="00311E82"/>
    <w:rsid w:val="00312E33"/>
    <w:rsid w:val="00313E23"/>
    <w:rsid w:val="00313FD6"/>
    <w:rsid w:val="003143BD"/>
    <w:rsid w:val="003144ED"/>
    <w:rsid w:val="00315B12"/>
    <w:rsid w:val="00317BE6"/>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AA2"/>
    <w:rsid w:val="00332BC5"/>
    <w:rsid w:val="0033331E"/>
    <w:rsid w:val="003335EF"/>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574"/>
    <w:rsid w:val="00370E47"/>
    <w:rsid w:val="003713A5"/>
    <w:rsid w:val="0037348C"/>
    <w:rsid w:val="003742AC"/>
    <w:rsid w:val="00374ADB"/>
    <w:rsid w:val="00375E92"/>
    <w:rsid w:val="003773A8"/>
    <w:rsid w:val="003773D1"/>
    <w:rsid w:val="00377CE1"/>
    <w:rsid w:val="003802D7"/>
    <w:rsid w:val="00380BA4"/>
    <w:rsid w:val="0038264D"/>
    <w:rsid w:val="00385BF0"/>
    <w:rsid w:val="00386FE5"/>
    <w:rsid w:val="003904DB"/>
    <w:rsid w:val="00390D94"/>
    <w:rsid w:val="003939FF"/>
    <w:rsid w:val="00393AC8"/>
    <w:rsid w:val="003941EA"/>
    <w:rsid w:val="003947C2"/>
    <w:rsid w:val="003972A5"/>
    <w:rsid w:val="003972CD"/>
    <w:rsid w:val="0039748E"/>
    <w:rsid w:val="00397E79"/>
    <w:rsid w:val="003A0E41"/>
    <w:rsid w:val="003A1718"/>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5F3C"/>
    <w:rsid w:val="003B661B"/>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0EA8"/>
    <w:rsid w:val="003F1A85"/>
    <w:rsid w:val="003F2CD4"/>
    <w:rsid w:val="003F304B"/>
    <w:rsid w:val="003F362C"/>
    <w:rsid w:val="003F38C3"/>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2B"/>
    <w:rsid w:val="00406669"/>
    <w:rsid w:val="004077DE"/>
    <w:rsid w:val="00407CD3"/>
    <w:rsid w:val="00410134"/>
    <w:rsid w:val="00410A51"/>
    <w:rsid w:val="00410B72"/>
    <w:rsid w:val="00410F18"/>
    <w:rsid w:val="004118D5"/>
    <w:rsid w:val="0041263E"/>
    <w:rsid w:val="00413A23"/>
    <w:rsid w:val="00413AAC"/>
    <w:rsid w:val="00413E92"/>
    <w:rsid w:val="004140B8"/>
    <w:rsid w:val="00415649"/>
    <w:rsid w:val="00421105"/>
    <w:rsid w:val="00422753"/>
    <w:rsid w:val="004237F6"/>
    <w:rsid w:val="004242F4"/>
    <w:rsid w:val="0042525B"/>
    <w:rsid w:val="00427248"/>
    <w:rsid w:val="00427F10"/>
    <w:rsid w:val="00431889"/>
    <w:rsid w:val="00432153"/>
    <w:rsid w:val="004329F3"/>
    <w:rsid w:val="00432D12"/>
    <w:rsid w:val="00432D19"/>
    <w:rsid w:val="004332D9"/>
    <w:rsid w:val="00433A67"/>
    <w:rsid w:val="00434D7F"/>
    <w:rsid w:val="0043546D"/>
    <w:rsid w:val="00435FC2"/>
    <w:rsid w:val="004361B3"/>
    <w:rsid w:val="0043620E"/>
    <w:rsid w:val="00437447"/>
    <w:rsid w:val="0044035D"/>
    <w:rsid w:val="00441000"/>
    <w:rsid w:val="00441782"/>
    <w:rsid w:val="00441A92"/>
    <w:rsid w:val="00442D24"/>
    <w:rsid w:val="00443A96"/>
    <w:rsid w:val="00444F56"/>
    <w:rsid w:val="00446488"/>
    <w:rsid w:val="00447DE1"/>
    <w:rsid w:val="004517AA"/>
    <w:rsid w:val="00452CAC"/>
    <w:rsid w:val="0045382F"/>
    <w:rsid w:val="00453967"/>
    <w:rsid w:val="00454321"/>
    <w:rsid w:val="00454A1C"/>
    <w:rsid w:val="0045573D"/>
    <w:rsid w:val="00455E5F"/>
    <w:rsid w:val="00456756"/>
    <w:rsid w:val="00456794"/>
    <w:rsid w:val="00457565"/>
    <w:rsid w:val="00457B71"/>
    <w:rsid w:val="004621A0"/>
    <w:rsid w:val="004621B3"/>
    <w:rsid w:val="0046287E"/>
    <w:rsid w:val="00463B74"/>
    <w:rsid w:val="00464015"/>
    <w:rsid w:val="0046569C"/>
    <w:rsid w:val="00465ABC"/>
    <w:rsid w:val="004663A6"/>
    <w:rsid w:val="004669E2"/>
    <w:rsid w:val="0047063D"/>
    <w:rsid w:val="00470C31"/>
    <w:rsid w:val="0047299D"/>
    <w:rsid w:val="00472DFD"/>
    <w:rsid w:val="004734D0"/>
    <w:rsid w:val="0047488D"/>
    <w:rsid w:val="004749C8"/>
    <w:rsid w:val="0047556B"/>
    <w:rsid w:val="00475DD4"/>
    <w:rsid w:val="00476C25"/>
    <w:rsid w:val="00477768"/>
    <w:rsid w:val="00477AF2"/>
    <w:rsid w:val="00477B73"/>
    <w:rsid w:val="00480E96"/>
    <w:rsid w:val="00483478"/>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7C0C"/>
    <w:rsid w:val="004C0B30"/>
    <w:rsid w:val="004C3898"/>
    <w:rsid w:val="004C72C3"/>
    <w:rsid w:val="004D022B"/>
    <w:rsid w:val="004D059A"/>
    <w:rsid w:val="004D1DAE"/>
    <w:rsid w:val="004D36B1"/>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0FFB"/>
    <w:rsid w:val="004F1AE6"/>
    <w:rsid w:val="004F2078"/>
    <w:rsid w:val="004F368A"/>
    <w:rsid w:val="004F38CD"/>
    <w:rsid w:val="004F4DA3"/>
    <w:rsid w:val="004F53FD"/>
    <w:rsid w:val="004F6CB9"/>
    <w:rsid w:val="00500B2D"/>
    <w:rsid w:val="00501087"/>
    <w:rsid w:val="00501AA7"/>
    <w:rsid w:val="00501C33"/>
    <w:rsid w:val="00504B37"/>
    <w:rsid w:val="005051A8"/>
    <w:rsid w:val="0050554C"/>
    <w:rsid w:val="0050591F"/>
    <w:rsid w:val="00506557"/>
    <w:rsid w:val="0050677A"/>
    <w:rsid w:val="00506B06"/>
    <w:rsid w:val="00510848"/>
    <w:rsid w:val="005108D8"/>
    <w:rsid w:val="00510B45"/>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3750"/>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4470"/>
    <w:rsid w:val="00565404"/>
    <w:rsid w:val="005664AE"/>
    <w:rsid w:val="0057047C"/>
    <w:rsid w:val="00572505"/>
    <w:rsid w:val="00573920"/>
    <w:rsid w:val="00573C3B"/>
    <w:rsid w:val="00573CFD"/>
    <w:rsid w:val="00573D3D"/>
    <w:rsid w:val="005747AA"/>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A06"/>
    <w:rsid w:val="00592B54"/>
    <w:rsid w:val="005935A4"/>
    <w:rsid w:val="005939D4"/>
    <w:rsid w:val="005948C2"/>
    <w:rsid w:val="00595DCA"/>
    <w:rsid w:val="0059779B"/>
    <w:rsid w:val="00597DDF"/>
    <w:rsid w:val="005A019E"/>
    <w:rsid w:val="005A062E"/>
    <w:rsid w:val="005A0915"/>
    <w:rsid w:val="005A209A"/>
    <w:rsid w:val="005A28ED"/>
    <w:rsid w:val="005A2A5C"/>
    <w:rsid w:val="005A3FC8"/>
    <w:rsid w:val="005A5DD4"/>
    <w:rsid w:val="005A662D"/>
    <w:rsid w:val="005A744C"/>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64B"/>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07D74"/>
    <w:rsid w:val="006102E2"/>
    <w:rsid w:val="00611B83"/>
    <w:rsid w:val="006123CC"/>
    <w:rsid w:val="00613257"/>
    <w:rsid w:val="00615CA9"/>
    <w:rsid w:val="00615D33"/>
    <w:rsid w:val="00617D79"/>
    <w:rsid w:val="00620A71"/>
    <w:rsid w:val="00620D80"/>
    <w:rsid w:val="006234A6"/>
    <w:rsid w:val="00624BF2"/>
    <w:rsid w:val="00625742"/>
    <w:rsid w:val="00626611"/>
    <w:rsid w:val="00626C98"/>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451B"/>
    <w:rsid w:val="00694BBE"/>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69AD"/>
    <w:rsid w:val="006A7AFF"/>
    <w:rsid w:val="006B01C9"/>
    <w:rsid w:val="006B1816"/>
    <w:rsid w:val="006B1852"/>
    <w:rsid w:val="006B2099"/>
    <w:rsid w:val="006B30FB"/>
    <w:rsid w:val="006B50CF"/>
    <w:rsid w:val="006B717E"/>
    <w:rsid w:val="006B7B17"/>
    <w:rsid w:val="006B7C04"/>
    <w:rsid w:val="006C03B8"/>
    <w:rsid w:val="006C08E1"/>
    <w:rsid w:val="006C13BB"/>
    <w:rsid w:val="006C38A7"/>
    <w:rsid w:val="006C3CA9"/>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0F"/>
    <w:rsid w:val="006F0C95"/>
    <w:rsid w:val="006F123E"/>
    <w:rsid w:val="006F1B70"/>
    <w:rsid w:val="006F2013"/>
    <w:rsid w:val="006F341D"/>
    <w:rsid w:val="006F3CDE"/>
    <w:rsid w:val="006F4F97"/>
    <w:rsid w:val="006F58D4"/>
    <w:rsid w:val="006F651E"/>
    <w:rsid w:val="006F7B2C"/>
    <w:rsid w:val="00701461"/>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49AC"/>
    <w:rsid w:val="007550B2"/>
    <w:rsid w:val="00755D95"/>
    <w:rsid w:val="007571E1"/>
    <w:rsid w:val="007604B2"/>
    <w:rsid w:val="00760BD3"/>
    <w:rsid w:val="00761B49"/>
    <w:rsid w:val="0076299E"/>
    <w:rsid w:val="00763983"/>
    <w:rsid w:val="00763D1E"/>
    <w:rsid w:val="00763DB8"/>
    <w:rsid w:val="00764180"/>
    <w:rsid w:val="00765281"/>
    <w:rsid w:val="007666E8"/>
    <w:rsid w:val="00766BAD"/>
    <w:rsid w:val="00771A69"/>
    <w:rsid w:val="007731E7"/>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6B6E"/>
    <w:rsid w:val="00790467"/>
    <w:rsid w:val="00790B99"/>
    <w:rsid w:val="00791BBB"/>
    <w:rsid w:val="007925EA"/>
    <w:rsid w:val="00793977"/>
    <w:rsid w:val="00793CD8"/>
    <w:rsid w:val="00795C92"/>
    <w:rsid w:val="00796231"/>
    <w:rsid w:val="00796317"/>
    <w:rsid w:val="00796573"/>
    <w:rsid w:val="00796B93"/>
    <w:rsid w:val="00796CA9"/>
    <w:rsid w:val="0079711B"/>
    <w:rsid w:val="007A135D"/>
    <w:rsid w:val="007A1CB3"/>
    <w:rsid w:val="007A306F"/>
    <w:rsid w:val="007A321A"/>
    <w:rsid w:val="007A34D7"/>
    <w:rsid w:val="007A43A6"/>
    <w:rsid w:val="007A58A6"/>
    <w:rsid w:val="007A5B38"/>
    <w:rsid w:val="007B178F"/>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074F"/>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4506"/>
    <w:rsid w:val="007F5621"/>
    <w:rsid w:val="007F75D5"/>
    <w:rsid w:val="007F7DC3"/>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2783"/>
    <w:rsid w:val="008146E4"/>
    <w:rsid w:val="0081472E"/>
    <w:rsid w:val="00814C65"/>
    <w:rsid w:val="00814DF6"/>
    <w:rsid w:val="00815392"/>
    <w:rsid w:val="008158D6"/>
    <w:rsid w:val="008159E5"/>
    <w:rsid w:val="00817196"/>
    <w:rsid w:val="00817330"/>
    <w:rsid w:val="00820E65"/>
    <w:rsid w:val="00822A7A"/>
    <w:rsid w:val="008235DB"/>
    <w:rsid w:val="0082438A"/>
    <w:rsid w:val="0082470F"/>
    <w:rsid w:val="00824AB4"/>
    <w:rsid w:val="00825C42"/>
    <w:rsid w:val="00825D25"/>
    <w:rsid w:val="00826625"/>
    <w:rsid w:val="0082731D"/>
    <w:rsid w:val="00827D6F"/>
    <w:rsid w:val="00827EF8"/>
    <w:rsid w:val="00834689"/>
    <w:rsid w:val="00835564"/>
    <w:rsid w:val="008370EA"/>
    <w:rsid w:val="008376AC"/>
    <w:rsid w:val="008403CE"/>
    <w:rsid w:val="00842EA5"/>
    <w:rsid w:val="00843D43"/>
    <w:rsid w:val="008444E8"/>
    <w:rsid w:val="00844A42"/>
    <w:rsid w:val="00844E80"/>
    <w:rsid w:val="00846FE7"/>
    <w:rsid w:val="00850316"/>
    <w:rsid w:val="00851DF7"/>
    <w:rsid w:val="00852402"/>
    <w:rsid w:val="008526D0"/>
    <w:rsid w:val="00852BBD"/>
    <w:rsid w:val="008541FF"/>
    <w:rsid w:val="00854A11"/>
    <w:rsid w:val="00854E76"/>
    <w:rsid w:val="00856911"/>
    <w:rsid w:val="00856AAA"/>
    <w:rsid w:val="00856E89"/>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4BD9"/>
    <w:rsid w:val="00875CD7"/>
    <w:rsid w:val="0087641E"/>
    <w:rsid w:val="00876B4D"/>
    <w:rsid w:val="00876F50"/>
    <w:rsid w:val="0087759F"/>
    <w:rsid w:val="00877F18"/>
    <w:rsid w:val="00877F78"/>
    <w:rsid w:val="00885251"/>
    <w:rsid w:val="008858FB"/>
    <w:rsid w:val="00890C6D"/>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4AEC"/>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2D73"/>
    <w:rsid w:val="009139D9"/>
    <w:rsid w:val="00914AD8"/>
    <w:rsid w:val="0091593D"/>
    <w:rsid w:val="00916079"/>
    <w:rsid w:val="00916118"/>
    <w:rsid w:val="009166B2"/>
    <w:rsid w:val="0091717E"/>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802"/>
    <w:rsid w:val="0093396A"/>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C05"/>
    <w:rsid w:val="00962F52"/>
    <w:rsid w:val="0096430A"/>
    <w:rsid w:val="00964C28"/>
    <w:rsid w:val="0096554B"/>
    <w:rsid w:val="0096584A"/>
    <w:rsid w:val="00971F08"/>
    <w:rsid w:val="0097315B"/>
    <w:rsid w:val="009737F8"/>
    <w:rsid w:val="00973C34"/>
    <w:rsid w:val="009748CB"/>
    <w:rsid w:val="0097493A"/>
    <w:rsid w:val="0097603D"/>
    <w:rsid w:val="00976949"/>
    <w:rsid w:val="00980321"/>
    <w:rsid w:val="00980477"/>
    <w:rsid w:val="00982379"/>
    <w:rsid w:val="00982946"/>
    <w:rsid w:val="00982FE2"/>
    <w:rsid w:val="009839A9"/>
    <w:rsid w:val="00985253"/>
    <w:rsid w:val="009853B3"/>
    <w:rsid w:val="00985BFD"/>
    <w:rsid w:val="0098630B"/>
    <w:rsid w:val="0099052F"/>
    <w:rsid w:val="00990630"/>
    <w:rsid w:val="00990F81"/>
    <w:rsid w:val="00991163"/>
    <w:rsid w:val="00991761"/>
    <w:rsid w:val="00994DCA"/>
    <w:rsid w:val="009960EC"/>
    <w:rsid w:val="009970DD"/>
    <w:rsid w:val="00997CB2"/>
    <w:rsid w:val="009A0FBA"/>
    <w:rsid w:val="009A1601"/>
    <w:rsid w:val="009A18A7"/>
    <w:rsid w:val="009A4210"/>
    <w:rsid w:val="009A462D"/>
    <w:rsid w:val="009A5CBA"/>
    <w:rsid w:val="009A660B"/>
    <w:rsid w:val="009A7113"/>
    <w:rsid w:val="009B0547"/>
    <w:rsid w:val="009B0AF5"/>
    <w:rsid w:val="009B1F30"/>
    <w:rsid w:val="009B2162"/>
    <w:rsid w:val="009B286A"/>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E78E5"/>
    <w:rsid w:val="009F08F3"/>
    <w:rsid w:val="009F0ABA"/>
    <w:rsid w:val="009F0C99"/>
    <w:rsid w:val="009F1E46"/>
    <w:rsid w:val="009F33B1"/>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AB0"/>
    <w:rsid w:val="00A45B74"/>
    <w:rsid w:val="00A47318"/>
    <w:rsid w:val="00A47C7D"/>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2CEB"/>
    <w:rsid w:val="00A739D0"/>
    <w:rsid w:val="00A73EDE"/>
    <w:rsid w:val="00A73F79"/>
    <w:rsid w:val="00A7402E"/>
    <w:rsid w:val="00A75CB1"/>
    <w:rsid w:val="00A760E9"/>
    <w:rsid w:val="00A761D4"/>
    <w:rsid w:val="00A777D4"/>
    <w:rsid w:val="00A779C0"/>
    <w:rsid w:val="00A77EC4"/>
    <w:rsid w:val="00A80210"/>
    <w:rsid w:val="00A80393"/>
    <w:rsid w:val="00A821B2"/>
    <w:rsid w:val="00A853FE"/>
    <w:rsid w:val="00A85C6C"/>
    <w:rsid w:val="00A85EF6"/>
    <w:rsid w:val="00A86EC3"/>
    <w:rsid w:val="00A90742"/>
    <w:rsid w:val="00A915AA"/>
    <w:rsid w:val="00A92879"/>
    <w:rsid w:val="00A9433C"/>
    <w:rsid w:val="00A9442A"/>
    <w:rsid w:val="00A96E3C"/>
    <w:rsid w:val="00A971AD"/>
    <w:rsid w:val="00AA016F"/>
    <w:rsid w:val="00AA1ED6"/>
    <w:rsid w:val="00AA2151"/>
    <w:rsid w:val="00AA24D4"/>
    <w:rsid w:val="00AA4379"/>
    <w:rsid w:val="00AA51D6"/>
    <w:rsid w:val="00AA62C4"/>
    <w:rsid w:val="00AA7436"/>
    <w:rsid w:val="00AB0BC8"/>
    <w:rsid w:val="00AB11CA"/>
    <w:rsid w:val="00AB14D9"/>
    <w:rsid w:val="00AB1727"/>
    <w:rsid w:val="00AB3B78"/>
    <w:rsid w:val="00AB4AB8"/>
    <w:rsid w:val="00AB655E"/>
    <w:rsid w:val="00AB75E6"/>
    <w:rsid w:val="00AC007F"/>
    <w:rsid w:val="00AC0718"/>
    <w:rsid w:val="00AC1110"/>
    <w:rsid w:val="00AC1724"/>
    <w:rsid w:val="00AC1FEF"/>
    <w:rsid w:val="00AC2DBC"/>
    <w:rsid w:val="00AC2ECD"/>
    <w:rsid w:val="00AC2F7D"/>
    <w:rsid w:val="00AC3119"/>
    <w:rsid w:val="00AC41DD"/>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5A3"/>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31ED"/>
    <w:rsid w:val="00B25B16"/>
    <w:rsid w:val="00B27111"/>
    <w:rsid w:val="00B2763F"/>
    <w:rsid w:val="00B27AAC"/>
    <w:rsid w:val="00B27CA7"/>
    <w:rsid w:val="00B30929"/>
    <w:rsid w:val="00B32F16"/>
    <w:rsid w:val="00B36A76"/>
    <w:rsid w:val="00B36F5B"/>
    <w:rsid w:val="00B372AA"/>
    <w:rsid w:val="00B40445"/>
    <w:rsid w:val="00B40A53"/>
    <w:rsid w:val="00B40B01"/>
    <w:rsid w:val="00B40DAF"/>
    <w:rsid w:val="00B41888"/>
    <w:rsid w:val="00B42F88"/>
    <w:rsid w:val="00B45308"/>
    <w:rsid w:val="00B45902"/>
    <w:rsid w:val="00B45A52"/>
    <w:rsid w:val="00B46175"/>
    <w:rsid w:val="00B5166F"/>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17E4"/>
    <w:rsid w:val="00BC3053"/>
    <w:rsid w:val="00BC324D"/>
    <w:rsid w:val="00BC413C"/>
    <w:rsid w:val="00BC41F8"/>
    <w:rsid w:val="00BC4D2E"/>
    <w:rsid w:val="00BC53ED"/>
    <w:rsid w:val="00BC6F80"/>
    <w:rsid w:val="00BD3B98"/>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E7646"/>
    <w:rsid w:val="00BE7675"/>
    <w:rsid w:val="00BF0FF8"/>
    <w:rsid w:val="00BF3279"/>
    <w:rsid w:val="00BF3817"/>
    <w:rsid w:val="00BF3D84"/>
    <w:rsid w:val="00BF4BB4"/>
    <w:rsid w:val="00BF74C7"/>
    <w:rsid w:val="00BF7642"/>
    <w:rsid w:val="00C0102B"/>
    <w:rsid w:val="00C015F1"/>
    <w:rsid w:val="00C01F33"/>
    <w:rsid w:val="00C02A4C"/>
    <w:rsid w:val="00C02CC6"/>
    <w:rsid w:val="00C0301A"/>
    <w:rsid w:val="00C03497"/>
    <w:rsid w:val="00C03678"/>
    <w:rsid w:val="00C03F38"/>
    <w:rsid w:val="00C040F7"/>
    <w:rsid w:val="00C044AB"/>
    <w:rsid w:val="00C04582"/>
    <w:rsid w:val="00C0464E"/>
    <w:rsid w:val="00C04974"/>
    <w:rsid w:val="00C04E2F"/>
    <w:rsid w:val="00C05706"/>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6D94"/>
    <w:rsid w:val="00C27903"/>
    <w:rsid w:val="00C279B5"/>
    <w:rsid w:val="00C27C45"/>
    <w:rsid w:val="00C33B33"/>
    <w:rsid w:val="00C346CA"/>
    <w:rsid w:val="00C3719D"/>
    <w:rsid w:val="00C4342A"/>
    <w:rsid w:val="00C43467"/>
    <w:rsid w:val="00C4445A"/>
    <w:rsid w:val="00C456DF"/>
    <w:rsid w:val="00C46013"/>
    <w:rsid w:val="00C46323"/>
    <w:rsid w:val="00C4762D"/>
    <w:rsid w:val="00C47FAC"/>
    <w:rsid w:val="00C51741"/>
    <w:rsid w:val="00C52790"/>
    <w:rsid w:val="00C5285A"/>
    <w:rsid w:val="00C54995"/>
    <w:rsid w:val="00C54D41"/>
    <w:rsid w:val="00C6005B"/>
    <w:rsid w:val="00C60783"/>
    <w:rsid w:val="00C6167D"/>
    <w:rsid w:val="00C61F8B"/>
    <w:rsid w:val="00C633A3"/>
    <w:rsid w:val="00C64644"/>
    <w:rsid w:val="00C64672"/>
    <w:rsid w:val="00C64B37"/>
    <w:rsid w:val="00C7069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16B"/>
    <w:rsid w:val="00C87E79"/>
    <w:rsid w:val="00C9027A"/>
    <w:rsid w:val="00C9058E"/>
    <w:rsid w:val="00C9068E"/>
    <w:rsid w:val="00C916ED"/>
    <w:rsid w:val="00C91CE5"/>
    <w:rsid w:val="00C92663"/>
    <w:rsid w:val="00C92920"/>
    <w:rsid w:val="00C933DA"/>
    <w:rsid w:val="00C9374C"/>
    <w:rsid w:val="00C93ABF"/>
    <w:rsid w:val="00C93C4B"/>
    <w:rsid w:val="00C93E3B"/>
    <w:rsid w:val="00C944AB"/>
    <w:rsid w:val="00C95B40"/>
    <w:rsid w:val="00C96AC5"/>
    <w:rsid w:val="00C97E62"/>
    <w:rsid w:val="00CA1068"/>
    <w:rsid w:val="00CA108F"/>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D7711"/>
    <w:rsid w:val="00CE0424"/>
    <w:rsid w:val="00CE100B"/>
    <w:rsid w:val="00CE11B3"/>
    <w:rsid w:val="00CE1611"/>
    <w:rsid w:val="00CE1E4E"/>
    <w:rsid w:val="00CE6DC1"/>
    <w:rsid w:val="00CE7561"/>
    <w:rsid w:val="00CE7870"/>
    <w:rsid w:val="00CF1354"/>
    <w:rsid w:val="00CF3154"/>
    <w:rsid w:val="00CF3B1F"/>
    <w:rsid w:val="00CF3BF6"/>
    <w:rsid w:val="00CF46C5"/>
    <w:rsid w:val="00CF625B"/>
    <w:rsid w:val="00CF6409"/>
    <w:rsid w:val="00CF687E"/>
    <w:rsid w:val="00CF74E2"/>
    <w:rsid w:val="00D030F3"/>
    <w:rsid w:val="00D0349B"/>
    <w:rsid w:val="00D049E2"/>
    <w:rsid w:val="00D0625A"/>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5A53"/>
    <w:rsid w:val="00D25B71"/>
    <w:rsid w:val="00D3046F"/>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C9E"/>
    <w:rsid w:val="00D524AE"/>
    <w:rsid w:val="00D52CF3"/>
    <w:rsid w:val="00D546FF"/>
    <w:rsid w:val="00D54AA7"/>
    <w:rsid w:val="00D54B16"/>
    <w:rsid w:val="00D55A9F"/>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7D01"/>
    <w:rsid w:val="00D708B0"/>
    <w:rsid w:val="00D70D10"/>
    <w:rsid w:val="00D718DE"/>
    <w:rsid w:val="00D71D0A"/>
    <w:rsid w:val="00D71F12"/>
    <w:rsid w:val="00D72509"/>
    <w:rsid w:val="00D7321B"/>
    <w:rsid w:val="00D745B2"/>
    <w:rsid w:val="00D756B6"/>
    <w:rsid w:val="00D7588D"/>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728"/>
    <w:rsid w:val="00D94F67"/>
    <w:rsid w:val="00DA0ACC"/>
    <w:rsid w:val="00DA1CF0"/>
    <w:rsid w:val="00DA305E"/>
    <w:rsid w:val="00DA35B7"/>
    <w:rsid w:val="00DA3F29"/>
    <w:rsid w:val="00DA503B"/>
    <w:rsid w:val="00DA5417"/>
    <w:rsid w:val="00DA56E8"/>
    <w:rsid w:val="00DA59C5"/>
    <w:rsid w:val="00DA5C3A"/>
    <w:rsid w:val="00DB07FD"/>
    <w:rsid w:val="00DB0A9F"/>
    <w:rsid w:val="00DB0F24"/>
    <w:rsid w:val="00DB10CC"/>
    <w:rsid w:val="00DB377D"/>
    <w:rsid w:val="00DB3991"/>
    <w:rsid w:val="00DB559B"/>
    <w:rsid w:val="00DB693B"/>
    <w:rsid w:val="00DB6ABC"/>
    <w:rsid w:val="00DB7696"/>
    <w:rsid w:val="00DB76B6"/>
    <w:rsid w:val="00DB7CCA"/>
    <w:rsid w:val="00DC11BC"/>
    <w:rsid w:val="00DC2D36"/>
    <w:rsid w:val="00DC4F10"/>
    <w:rsid w:val="00DC53CC"/>
    <w:rsid w:val="00DC53EF"/>
    <w:rsid w:val="00DC5FBF"/>
    <w:rsid w:val="00DD4047"/>
    <w:rsid w:val="00DD40DB"/>
    <w:rsid w:val="00DD42E0"/>
    <w:rsid w:val="00DD4836"/>
    <w:rsid w:val="00DD5895"/>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1604"/>
    <w:rsid w:val="00DF283C"/>
    <w:rsid w:val="00DF28E5"/>
    <w:rsid w:val="00DF37A0"/>
    <w:rsid w:val="00DF4D3E"/>
    <w:rsid w:val="00DF686C"/>
    <w:rsid w:val="00DF6E1C"/>
    <w:rsid w:val="00E004F1"/>
    <w:rsid w:val="00E01E5A"/>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3BD"/>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2A0"/>
    <w:rsid w:val="00E65B90"/>
    <w:rsid w:val="00E65CEE"/>
    <w:rsid w:val="00E6604D"/>
    <w:rsid w:val="00E67C51"/>
    <w:rsid w:val="00E707F9"/>
    <w:rsid w:val="00E72284"/>
    <w:rsid w:val="00E72EFC"/>
    <w:rsid w:val="00E731C8"/>
    <w:rsid w:val="00E758EC"/>
    <w:rsid w:val="00E76E65"/>
    <w:rsid w:val="00E772FE"/>
    <w:rsid w:val="00E77F4A"/>
    <w:rsid w:val="00E80B4C"/>
    <w:rsid w:val="00E8234C"/>
    <w:rsid w:val="00E830C1"/>
    <w:rsid w:val="00E83AA9"/>
    <w:rsid w:val="00E85928"/>
    <w:rsid w:val="00E85A12"/>
    <w:rsid w:val="00E85EC2"/>
    <w:rsid w:val="00E86B11"/>
    <w:rsid w:val="00E87822"/>
    <w:rsid w:val="00E90395"/>
    <w:rsid w:val="00E90436"/>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62B"/>
    <w:rsid w:val="00EA3879"/>
    <w:rsid w:val="00EA478D"/>
    <w:rsid w:val="00EA4B16"/>
    <w:rsid w:val="00EA6BBA"/>
    <w:rsid w:val="00EA7839"/>
    <w:rsid w:val="00EA7A41"/>
    <w:rsid w:val="00EA7BCC"/>
    <w:rsid w:val="00EB077B"/>
    <w:rsid w:val="00EB168F"/>
    <w:rsid w:val="00EB1EAA"/>
    <w:rsid w:val="00EB39AA"/>
    <w:rsid w:val="00EB4A0D"/>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581D"/>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72D"/>
    <w:rsid w:val="00F97838"/>
    <w:rsid w:val="00F979C5"/>
    <w:rsid w:val="00FA0532"/>
    <w:rsid w:val="00FA187F"/>
    <w:rsid w:val="00FA2BB3"/>
    <w:rsid w:val="00FA34C4"/>
    <w:rsid w:val="00FA3BB7"/>
    <w:rsid w:val="00FA3D86"/>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4F0E"/>
    <w:rsid w:val="00FC58B2"/>
    <w:rsid w:val="00FC6553"/>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C7B"/>
    <w:rsid w:val="00FE5F02"/>
    <w:rsid w:val="00FE658D"/>
    <w:rsid w:val="00FE7336"/>
    <w:rsid w:val="00FE787C"/>
    <w:rsid w:val="00FF0C3A"/>
    <w:rsid w:val="00FF112A"/>
    <w:rsid w:val="00FF185F"/>
    <w:rsid w:val="00FF1E96"/>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B1B1C"/>
  <w15:docId w15:val="{9C06B5ED-91DD-4500-9183-B8D34B16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77DE"/>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4077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7DE"/>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BodyText">
    <w:name w:val="Body Text"/>
    <w:basedOn w:val="Normal"/>
    <w:link w:val="BodyTextChar"/>
    <w:qFormat/>
    <w:rsid w:val="002611E7"/>
  </w:style>
  <w:style w:type="character" w:customStyle="1" w:styleId="BodyTextChar">
    <w:name w:val="Body Text Char"/>
    <w:link w:val="BodyText"/>
    <w:rsid w:val="002611E7"/>
    <w:rPr>
      <w:rFonts w:ascii="Times New Roman" w:hAnsi="Times New Roman"/>
      <w:lang w:val="en-GB" w:eastAsia="zh-CN"/>
    </w:r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character" w:customStyle="1" w:styleId="CommentTextChar">
    <w:name w:val="Comment Text Char"/>
    <w:link w:val="CommentText"/>
    <w:uiPriority w:val="99"/>
    <w:rsid w:val="00F2136A"/>
    <w:rPr>
      <w:rFonts w:ascii="Times New Roman" w:hAnsi="Times New Roman"/>
      <w:lang w:val="en-GB" w:eastAsia="zh-CN"/>
    </w:rPr>
  </w:style>
  <w:style w:type="paragraph" w:styleId="CommentSubject">
    <w:name w:val="annotation subject"/>
    <w:basedOn w:val="CommentText"/>
    <w:next w:val="CommentText"/>
    <w:semiHidden/>
    <w:rsid w:val="002611E7"/>
    <w:rPr>
      <w:b/>
      <w:bCs/>
    </w:rPr>
  </w:style>
  <w:style w:type="paragraph" w:customStyle="1" w:styleId="B1">
    <w:name w:val="B1"/>
    <w:basedOn w:val="List"/>
    <w:link w:val="B1Zchn"/>
    <w:qFormat/>
    <w:rsid w:val="002611E7"/>
    <w:pPr>
      <w:spacing w:after="180"/>
    </w:pPr>
  </w:style>
  <w:style w:type="character" w:customStyle="1" w:styleId="B1Zchn">
    <w:name w:val="B1 Zchn"/>
    <w:link w:val="B1"/>
    <w:rsid w:val="00EB39AA"/>
    <w:rPr>
      <w:rFonts w:ascii="Times New Roman" w:hAnsi="Times New Roman"/>
      <w:lang w:val="en-GB"/>
    </w:rPr>
  </w:style>
  <w:style w:type="paragraph" w:customStyle="1" w:styleId="B2">
    <w:name w:val="B2"/>
    <w:basedOn w:val="List2"/>
    <w:link w:val="B2Char"/>
    <w:qFormat/>
    <w:rsid w:val="002611E7"/>
    <w:pPr>
      <w:spacing w:after="180"/>
    </w:pPr>
  </w:style>
  <w:style w:type="character" w:customStyle="1" w:styleId="B2Char">
    <w:name w:val="B2 Char"/>
    <w:link w:val="B2"/>
    <w:rsid w:val="0077381A"/>
    <w:rPr>
      <w:rFonts w:ascii="Times New Roman" w:hAnsi="Times New Roman"/>
      <w:lang w:val="en-GB"/>
    </w:r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character" w:customStyle="1" w:styleId="TACChar">
    <w:name w:val="TAC Char"/>
    <w:link w:val="TAC"/>
    <w:locked/>
    <w:rsid w:val="00EB39AA"/>
    <w:rPr>
      <w:rFonts w:ascii="Times New Roman" w:hAnsi="Times New Roman"/>
      <w:sz w:val="18"/>
      <w:lang w:val="en-GB"/>
    </w:rPr>
  </w:style>
  <w:style w:type="paragraph" w:customStyle="1" w:styleId="TAH">
    <w:name w:val="TAH"/>
    <w:basedOn w:val="TAC"/>
    <w:link w:val="TAHCar"/>
    <w:rsid w:val="002611E7"/>
    <w:rPr>
      <w:b/>
    </w:rPr>
  </w:style>
  <w:style w:type="character" w:customStyle="1" w:styleId="TAHCar">
    <w:name w:val="TAH Car"/>
    <w:link w:val="TAH"/>
    <w:rsid w:val="00EB39AA"/>
    <w:rPr>
      <w:rFonts w:ascii="Times New Roman" w:hAnsi="Times New Roman"/>
      <w:b/>
      <w:sz w:val="18"/>
      <w:lang w:val="en-G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character" w:customStyle="1" w:styleId="THChar">
    <w:name w:val="TH Char"/>
    <w:link w:val="TH"/>
    <w:rsid w:val="00EB39AA"/>
    <w:rPr>
      <w:rFonts w:ascii="Times New Roman" w:hAnsi="Times New Roman"/>
      <w:b/>
      <w:lang w:val="en-G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3">
    <w:name w:val="bullet3"/>
    <w:basedOn w:val="Normal"/>
    <w:link w:val="bullet3Char"/>
    <w:qFormat/>
    <w:rsid w:val="00D641A6"/>
    <w:pPr>
      <w:spacing w:after="0"/>
      <w:ind w:left="2160" w:hanging="360"/>
    </w:pPr>
    <w:rPr>
      <w:rFonts w:ascii="Times" w:eastAsia="Batang" w:hAnsi="Times"/>
      <w:szCs w:val="24"/>
    </w:rPr>
  </w:style>
  <w:style w:type="character" w:customStyle="1" w:styleId="bullet3Char">
    <w:name w:val="bullet3 Char"/>
    <w:link w:val="bullet3"/>
    <w:rsid w:val="00D641A6"/>
    <w:rPr>
      <w:rFonts w:ascii="Times" w:eastAsia="Batang" w:hAnsi="Times" w:cstheme="minorBidi"/>
      <w:sz w:val="22"/>
      <w:szCs w:val="24"/>
    </w:rPr>
  </w:style>
  <w:style w:type="paragraph" w:customStyle="1" w:styleId="bullet4">
    <w:name w:val="bullet4"/>
    <w:basedOn w:val="Normal"/>
    <w:qFormat/>
    <w:rsid w:val="00D641A6"/>
    <w:pPr>
      <w:spacing w:after="0"/>
      <w:ind w:left="2880" w:hanging="36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10">
    <w:name w:val="B1 (文字)"/>
    <w:uiPriority w:val="99"/>
    <w:locked/>
    <w:rsid w:val="00072530"/>
    <w:rPr>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 w:type="table" w:styleId="GridTable5Dark-Accent3">
    <w:name w:val="Grid Table 5 Dark Accent 3"/>
    <w:basedOn w:val="TableNormal"/>
    <w:uiPriority w:val="50"/>
    <w:rsid w:val="00332A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3-Accent3">
    <w:name w:val="Grid Table 3 Accent 3"/>
    <w:basedOn w:val="TableNormal"/>
    <w:uiPriority w:val="48"/>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4-Accent3">
    <w:name w:val="Grid Table 4 Accent 3"/>
    <w:basedOn w:val="TableNormal"/>
    <w:uiPriority w:val="49"/>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3">
    <w:name w:val="List Table 4 Accent 3"/>
    <w:basedOn w:val="TableNormal"/>
    <w:uiPriority w:val="49"/>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7Colorful-Accent3">
    <w:name w:val="List Table 7 Colorful Accent 3"/>
    <w:basedOn w:val="TableNormal"/>
    <w:uiPriority w:val="52"/>
    <w:rsid w:val="00332AA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332AA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4C72C3"/>
    <w:pPr>
      <w:spacing w:before="100" w:beforeAutospacing="1" w:after="100" w:afterAutospacing="1" w:line="240" w:lineRule="auto"/>
    </w:pPr>
    <w:rPr>
      <w:rFonts w:ascii="Times New Roman" w:eastAsia="Times New Roman" w:hAnsi="Times New Roman" w:cs="Times New Roman"/>
      <w:sz w:val="24"/>
      <w:szCs w:val="24"/>
      <w:lang w:eastAsia="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9626028">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47063549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698972190">
      <w:bodyDiv w:val="1"/>
      <w:marLeft w:val="0"/>
      <w:marRight w:val="0"/>
      <w:marTop w:val="0"/>
      <w:marBottom w:val="0"/>
      <w:divBdr>
        <w:top w:val="none" w:sz="0" w:space="0" w:color="auto"/>
        <w:left w:val="none" w:sz="0" w:space="0" w:color="auto"/>
        <w:bottom w:val="none" w:sz="0" w:space="0" w:color="auto"/>
        <w:right w:val="none" w:sz="0" w:space="0" w:color="auto"/>
      </w:divBdr>
    </w:div>
    <w:div w:id="699865236">
      <w:bodyDiv w:val="1"/>
      <w:marLeft w:val="0"/>
      <w:marRight w:val="0"/>
      <w:marTop w:val="0"/>
      <w:marBottom w:val="0"/>
      <w:divBdr>
        <w:top w:val="none" w:sz="0" w:space="0" w:color="auto"/>
        <w:left w:val="none" w:sz="0" w:space="0" w:color="auto"/>
        <w:bottom w:val="none" w:sz="0" w:space="0" w:color="auto"/>
        <w:right w:val="none" w:sz="0" w:space="0" w:color="auto"/>
      </w:divBdr>
    </w:div>
    <w:div w:id="922954702">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487131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14496308">
      <w:bodyDiv w:val="1"/>
      <w:marLeft w:val="0"/>
      <w:marRight w:val="0"/>
      <w:marTop w:val="0"/>
      <w:marBottom w:val="0"/>
      <w:divBdr>
        <w:top w:val="none" w:sz="0" w:space="0" w:color="auto"/>
        <w:left w:val="none" w:sz="0" w:space="0" w:color="auto"/>
        <w:bottom w:val="none" w:sz="0" w:space="0" w:color="auto"/>
        <w:right w:val="none" w:sz="0" w:space="0" w:color="auto"/>
      </w:divBdr>
    </w:div>
    <w:div w:id="1748533062">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0EA37-633E-4146-9945-3D6045CF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2276</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Niklas Wernersson</cp:lastModifiedBy>
  <cp:revision>45</cp:revision>
  <dcterms:created xsi:type="dcterms:W3CDTF">2018-10-10T02:48:00Z</dcterms:created>
  <dcterms:modified xsi:type="dcterms:W3CDTF">2018-11-02T22:20:00Z</dcterms:modified>
</cp:coreProperties>
</file>